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8953E">
      <w:pPr>
        <w:rPr>
          <w:rFonts w:ascii="黑体" w:hAnsi="黑体" w:eastAsia="黑体"/>
          <w:sz w:val="32"/>
          <w:szCs w:val="32"/>
        </w:rPr>
      </w:pPr>
    </w:p>
    <w:p w14:paraId="79A26E32">
      <w:pPr>
        <w:rPr>
          <w:rFonts w:ascii="黑体" w:hAnsi="黑体" w:eastAsia="黑体"/>
          <w:sz w:val="32"/>
          <w:szCs w:val="32"/>
        </w:rPr>
      </w:pPr>
    </w:p>
    <w:p w14:paraId="676A6BF9">
      <w:pPr>
        <w:rPr>
          <w:rFonts w:ascii="黑体" w:hAnsi="黑体" w:eastAsia="黑体"/>
          <w:sz w:val="32"/>
          <w:szCs w:val="32"/>
        </w:rPr>
      </w:pPr>
    </w:p>
    <w:p w14:paraId="78BD1A60">
      <w:pPr>
        <w:rPr>
          <w:rFonts w:ascii="黑体" w:hAnsi="黑体" w:eastAsia="黑体"/>
          <w:sz w:val="32"/>
          <w:szCs w:val="32"/>
        </w:rPr>
      </w:pPr>
    </w:p>
    <w:p w14:paraId="09A9DCCC">
      <w:pPr>
        <w:jc w:val="center"/>
        <w:rPr>
          <w:rFonts w:ascii="黑体" w:hAnsi="黑体" w:eastAsia="黑体"/>
          <w:sz w:val="32"/>
          <w:szCs w:val="32"/>
        </w:rPr>
      </w:pPr>
    </w:p>
    <w:p w14:paraId="548844C4">
      <w:pPr>
        <w:jc w:val="center"/>
        <w:rPr>
          <w:rFonts w:ascii="黑体" w:hAnsi="黑体" w:eastAsia="黑体"/>
          <w:sz w:val="32"/>
          <w:szCs w:val="32"/>
        </w:rPr>
      </w:pPr>
      <w:r>
        <w:rPr>
          <w:rFonts w:hint="eastAsia" w:ascii="黑体" w:hAnsi="黑体" w:eastAsia="黑体"/>
          <w:sz w:val="32"/>
          <w:szCs w:val="32"/>
        </w:rPr>
        <w:t>《乙烯装置</w:t>
      </w:r>
      <w:r>
        <w:rPr>
          <w:rFonts w:ascii="黑体" w:hAnsi="黑体" w:eastAsia="黑体" w:cs="Times New Roman"/>
          <w:sz w:val="32"/>
          <w:szCs w:val="32"/>
        </w:rPr>
        <w:t>碳排放基准</w:t>
      </w:r>
      <w:r>
        <w:rPr>
          <w:rFonts w:hint="eastAsia" w:ascii="黑体" w:hAnsi="黑体" w:eastAsia="黑体"/>
          <w:sz w:val="32"/>
          <w:szCs w:val="32"/>
        </w:rPr>
        <w:t>》</w:t>
      </w:r>
    </w:p>
    <w:p w14:paraId="0AC2F80F">
      <w:pPr>
        <w:jc w:val="center"/>
        <w:rPr>
          <w:rFonts w:ascii="黑体" w:hAnsi="黑体" w:eastAsia="黑体"/>
          <w:sz w:val="32"/>
          <w:szCs w:val="32"/>
        </w:rPr>
      </w:pPr>
      <w:r>
        <w:rPr>
          <w:rFonts w:hint="eastAsia" w:ascii="黑体" w:hAnsi="黑体" w:eastAsia="黑体"/>
          <w:sz w:val="32"/>
          <w:szCs w:val="32"/>
        </w:rPr>
        <w:t>（征求意见稿）</w:t>
      </w:r>
    </w:p>
    <w:p w14:paraId="74B31DA7">
      <w:pPr>
        <w:jc w:val="center"/>
        <w:rPr>
          <w:rFonts w:ascii="黑体" w:hAnsi="黑体" w:eastAsia="黑体"/>
          <w:sz w:val="32"/>
          <w:szCs w:val="32"/>
        </w:rPr>
      </w:pPr>
    </w:p>
    <w:p w14:paraId="16859771">
      <w:pPr>
        <w:jc w:val="center"/>
        <w:rPr>
          <w:rFonts w:ascii="黑体" w:hAnsi="黑体" w:eastAsia="黑体"/>
          <w:sz w:val="32"/>
          <w:szCs w:val="32"/>
        </w:rPr>
      </w:pPr>
      <w:r>
        <w:rPr>
          <w:rFonts w:hint="eastAsia" w:ascii="黑体" w:hAnsi="黑体" w:eastAsia="黑体"/>
          <w:sz w:val="32"/>
          <w:szCs w:val="32"/>
        </w:rPr>
        <w:t>团体标准</w:t>
      </w:r>
    </w:p>
    <w:p w14:paraId="1E0F82A0">
      <w:pPr>
        <w:jc w:val="center"/>
        <w:rPr>
          <w:rFonts w:ascii="黑体" w:hAnsi="黑体" w:eastAsia="黑体"/>
          <w:sz w:val="32"/>
          <w:szCs w:val="32"/>
        </w:rPr>
      </w:pPr>
    </w:p>
    <w:p w14:paraId="5412ECEB">
      <w:pPr>
        <w:jc w:val="center"/>
        <w:rPr>
          <w:rFonts w:ascii="黑体" w:hAnsi="黑体" w:eastAsia="黑体"/>
          <w:sz w:val="32"/>
          <w:szCs w:val="32"/>
        </w:rPr>
      </w:pPr>
      <w:r>
        <w:rPr>
          <w:rFonts w:hint="eastAsia" w:ascii="黑体" w:hAnsi="黑体" w:eastAsia="黑体"/>
          <w:sz w:val="32"/>
          <w:szCs w:val="32"/>
        </w:rPr>
        <w:t>编制说明</w:t>
      </w:r>
    </w:p>
    <w:p w14:paraId="7517E76F">
      <w:pPr>
        <w:jc w:val="center"/>
        <w:rPr>
          <w:rFonts w:ascii="黑体" w:hAnsi="黑体" w:eastAsia="黑体"/>
          <w:sz w:val="32"/>
          <w:szCs w:val="32"/>
        </w:rPr>
      </w:pPr>
    </w:p>
    <w:p w14:paraId="31167507">
      <w:pPr>
        <w:jc w:val="center"/>
        <w:rPr>
          <w:rFonts w:ascii="黑体" w:hAnsi="黑体" w:eastAsia="黑体"/>
          <w:sz w:val="32"/>
          <w:szCs w:val="32"/>
        </w:rPr>
      </w:pPr>
    </w:p>
    <w:p w14:paraId="45945001">
      <w:pPr>
        <w:jc w:val="center"/>
        <w:rPr>
          <w:rFonts w:ascii="黑体" w:hAnsi="黑体" w:eastAsia="黑体"/>
          <w:sz w:val="32"/>
          <w:szCs w:val="32"/>
        </w:rPr>
      </w:pPr>
    </w:p>
    <w:p w14:paraId="65CE149F">
      <w:pPr>
        <w:jc w:val="center"/>
        <w:rPr>
          <w:rFonts w:ascii="黑体" w:hAnsi="黑体" w:eastAsia="黑体"/>
          <w:sz w:val="32"/>
          <w:szCs w:val="32"/>
        </w:rPr>
      </w:pPr>
    </w:p>
    <w:p w14:paraId="2DFA04EF">
      <w:pPr>
        <w:jc w:val="center"/>
        <w:rPr>
          <w:rFonts w:ascii="黑体" w:hAnsi="黑体" w:eastAsia="黑体"/>
          <w:sz w:val="32"/>
          <w:szCs w:val="32"/>
        </w:rPr>
      </w:pPr>
    </w:p>
    <w:p w14:paraId="6B9C1140">
      <w:pPr>
        <w:jc w:val="center"/>
        <w:rPr>
          <w:rFonts w:ascii="黑体" w:hAnsi="黑体" w:eastAsia="黑体"/>
          <w:sz w:val="32"/>
          <w:szCs w:val="32"/>
        </w:rPr>
      </w:pPr>
    </w:p>
    <w:p w14:paraId="5D4EA894">
      <w:pPr>
        <w:jc w:val="center"/>
        <w:rPr>
          <w:rFonts w:ascii="黑体" w:hAnsi="黑体" w:eastAsia="黑体"/>
          <w:sz w:val="32"/>
          <w:szCs w:val="32"/>
        </w:rPr>
      </w:pPr>
    </w:p>
    <w:p w14:paraId="2DA61800">
      <w:pPr>
        <w:jc w:val="center"/>
        <w:rPr>
          <w:rFonts w:ascii="黑体" w:hAnsi="黑体" w:eastAsia="黑体"/>
          <w:sz w:val="32"/>
          <w:szCs w:val="32"/>
        </w:rPr>
      </w:pPr>
      <w:r>
        <w:rPr>
          <w:rFonts w:hint="eastAsia" w:ascii="黑体" w:hAnsi="黑体" w:eastAsia="黑体"/>
          <w:sz w:val="32"/>
          <w:szCs w:val="32"/>
        </w:rPr>
        <w:t>《乙烯装置碳</w:t>
      </w:r>
      <w:r>
        <w:rPr>
          <w:rFonts w:ascii="黑体" w:hAnsi="黑体" w:eastAsia="黑体" w:cs="Times New Roman"/>
          <w:sz w:val="32"/>
          <w:szCs w:val="32"/>
        </w:rPr>
        <w:t>排放基准</w:t>
      </w:r>
      <w:r>
        <w:rPr>
          <w:rFonts w:hint="eastAsia" w:ascii="黑体" w:hAnsi="黑体" w:eastAsia="黑体"/>
          <w:sz w:val="32"/>
          <w:szCs w:val="32"/>
        </w:rPr>
        <w:t>》编制组</w:t>
      </w:r>
    </w:p>
    <w:p w14:paraId="57F3707F">
      <w:pPr>
        <w:jc w:val="center"/>
        <w:rPr>
          <w:rFonts w:ascii="黑体" w:hAnsi="黑体" w:eastAsia="黑体"/>
          <w:sz w:val="32"/>
          <w:szCs w:val="32"/>
        </w:rPr>
      </w:pPr>
      <w:r>
        <w:rPr>
          <w:rFonts w:hint="eastAsia" w:ascii="黑体" w:hAnsi="黑体" w:eastAsia="黑体"/>
          <w:sz w:val="32"/>
          <w:szCs w:val="32"/>
        </w:rPr>
        <w:t>2</w:t>
      </w:r>
      <w:r>
        <w:rPr>
          <w:rFonts w:ascii="黑体" w:hAnsi="黑体" w:eastAsia="黑体"/>
          <w:sz w:val="32"/>
          <w:szCs w:val="32"/>
        </w:rPr>
        <w:t>024</w:t>
      </w:r>
      <w:r>
        <w:rPr>
          <w:rFonts w:hint="eastAsia" w:ascii="黑体" w:hAnsi="黑体" w:eastAsia="黑体"/>
          <w:sz w:val="32"/>
          <w:szCs w:val="32"/>
        </w:rPr>
        <w:t>年</w:t>
      </w:r>
      <w:r>
        <w:rPr>
          <w:rFonts w:ascii="黑体" w:hAnsi="黑体" w:eastAsia="黑体"/>
          <w:sz w:val="32"/>
          <w:szCs w:val="32"/>
        </w:rPr>
        <w:t>11</w:t>
      </w:r>
      <w:r>
        <w:rPr>
          <w:rFonts w:hint="eastAsia" w:ascii="黑体" w:hAnsi="黑体" w:eastAsia="黑体"/>
          <w:sz w:val="32"/>
          <w:szCs w:val="32"/>
        </w:rPr>
        <w:t>月</w:t>
      </w:r>
    </w:p>
    <w:p w14:paraId="312F9054">
      <w:pPr>
        <w:jc w:val="center"/>
        <w:rPr>
          <w:rFonts w:ascii="黑体" w:hAnsi="黑体" w:eastAsia="黑体"/>
          <w:sz w:val="32"/>
          <w:szCs w:val="32"/>
        </w:rPr>
      </w:pPr>
      <w:r>
        <w:rPr>
          <w:rFonts w:ascii="黑体" w:hAnsi="黑体" w:eastAsia="黑体"/>
          <w:sz w:val="32"/>
          <w:szCs w:val="32"/>
        </w:rPr>
        <w:br w:type="page"/>
      </w:r>
    </w:p>
    <w:p w14:paraId="08C0B857">
      <w:pPr>
        <w:pStyle w:val="2"/>
        <w:spacing w:before="156" w:after="156"/>
      </w:pPr>
      <w:r>
        <w:rPr>
          <w:rFonts w:hint="eastAsia"/>
        </w:rPr>
        <w:t>项目背景</w:t>
      </w:r>
    </w:p>
    <w:p w14:paraId="646CA291">
      <w:pPr>
        <w:pStyle w:val="3"/>
        <w:spacing w:before="156" w:after="156"/>
      </w:pPr>
      <w:r>
        <w:rPr>
          <w:rFonts w:hint="eastAsia"/>
        </w:rPr>
        <w:t>任务来源</w:t>
      </w:r>
    </w:p>
    <w:p w14:paraId="36A58106">
      <w:pPr>
        <w:pStyle w:val="17"/>
        <w:ind w:firstLine="480"/>
      </w:pPr>
      <w:bookmarkStart w:id="0" w:name="_Hlk120513116"/>
      <w:r>
        <w:t>中国国家主席习近平2020年9月22日在第七十五届联合国大会一般性辩论上发表重要讲话，提出了我国应对气候变化新的国家自主贡献目标和长期愿景: 中国将提高国家自主贡献力度，采取更有力的政策和措施，CO</w:t>
      </w:r>
      <w:r>
        <w:rPr>
          <w:vertAlign w:val="subscript"/>
        </w:rPr>
        <w:t>2</w:t>
      </w:r>
      <w:r>
        <w:t>排放力争于2030年前达到峰值，努力争取2060年前实现碳中和。这是中国首次向全球明确实现碳中和的时间点，也是迄今为止各国中做出的最大减少全球变暖预期的气候承诺。</w:t>
      </w:r>
    </w:p>
    <w:p w14:paraId="06538FAF">
      <w:pPr>
        <w:pStyle w:val="17"/>
        <w:ind w:firstLine="480"/>
      </w:pPr>
      <w:r>
        <w:rPr>
          <w:rFonts w:hint="eastAsia"/>
        </w:rPr>
        <w:t>2</w:t>
      </w:r>
      <w:r>
        <w:t>015</w:t>
      </w:r>
      <w:r>
        <w:rPr>
          <w:rFonts w:hint="eastAsia"/>
        </w:rPr>
        <w:t>-</w:t>
      </w:r>
      <w:r>
        <w:t>2023</w:t>
      </w:r>
      <w:r>
        <w:rPr>
          <w:rFonts w:hint="eastAsia"/>
        </w:rPr>
        <w:t>年，中国乙烯产能从2</w:t>
      </w:r>
      <w:r>
        <w:t>200.5</w:t>
      </w:r>
      <w:r>
        <w:rPr>
          <w:rFonts w:hint="eastAsia"/>
        </w:rPr>
        <w:t>万吨增长至5</w:t>
      </w:r>
      <w:r>
        <w:t>150</w:t>
      </w:r>
      <w:r>
        <w:rPr>
          <w:rFonts w:hint="eastAsia"/>
        </w:rPr>
        <w:t>万吨，年均复合增长率约1</w:t>
      </w:r>
      <w:r>
        <w:t>3%</w:t>
      </w:r>
      <w:r>
        <w:rPr>
          <w:rFonts w:hint="eastAsia"/>
        </w:rPr>
        <w:t>，预计“十四五”期间，国内累计新增乙烯产能将达到2</w:t>
      </w:r>
      <w:r>
        <w:t>200</w:t>
      </w:r>
      <w:r>
        <w:rPr>
          <w:rFonts w:hint="eastAsia"/>
        </w:rPr>
        <w:t>万吨，到2</w:t>
      </w:r>
      <w:r>
        <w:t>025</w:t>
      </w:r>
      <w:r>
        <w:rPr>
          <w:rFonts w:hint="eastAsia"/>
        </w:rPr>
        <w:t>年底国内乙烯产能将达到7</w:t>
      </w:r>
      <w:r>
        <w:t>350</w:t>
      </w:r>
      <w:r>
        <w:rPr>
          <w:rFonts w:hint="eastAsia"/>
        </w:rPr>
        <w:t>万吨。</w:t>
      </w:r>
    </w:p>
    <w:p w14:paraId="4EBBF182">
      <w:pPr>
        <w:pStyle w:val="17"/>
        <w:ind w:firstLine="480"/>
      </w:pPr>
      <w:r>
        <w:rPr>
          <w:rFonts w:hint="eastAsia"/>
        </w:rPr>
        <w:t>乙烯被称为“石化工业之母”，7</w:t>
      </w:r>
      <w:r>
        <w:t>0</w:t>
      </w:r>
      <w:r>
        <w:rPr>
          <w:rFonts w:hint="eastAsia"/>
        </w:rPr>
        <w:t>%以上的基本有机化工原料来自乙烯装置，单装置常占企业碳排放量的5</w:t>
      </w:r>
      <w:r>
        <w:t>0</w:t>
      </w:r>
      <w:r>
        <w:rPr>
          <w:rFonts w:hint="eastAsia"/>
        </w:rPr>
        <w:t>%以上，碳减排空间较大。现有乙烯装置的单位烯烃碳排放量大于1吨</w:t>
      </w:r>
      <w:r>
        <w:t>CO</w:t>
      </w:r>
      <w:r>
        <w:rPr>
          <w:vertAlign w:val="subscript"/>
        </w:rPr>
        <w:t>2</w:t>
      </w:r>
      <w:r>
        <w:rPr>
          <w:rFonts w:hint="eastAsia"/>
        </w:rPr>
        <w:t>/吨烯烃。加快传统乙烯装置的原料轻质化、低碳化，提高电气化率，淘汰落后产能，着力解决资源能源利用效率，降低碳排放强度是十四五、十五五乙烯工业的发展目标。</w:t>
      </w:r>
    </w:p>
    <w:bookmarkEnd w:id="0"/>
    <w:p w14:paraId="4ADA5D81">
      <w:pPr>
        <w:pStyle w:val="17"/>
        <w:ind w:firstLine="480"/>
      </w:pPr>
      <w:r>
        <w:rPr>
          <w:rFonts w:hint="eastAsia"/>
        </w:rPr>
        <w:t>根据我国已发布的</w:t>
      </w:r>
      <w:r>
        <w:t>17</w:t>
      </w:r>
      <w:r>
        <w:rPr>
          <w:rFonts w:hint="eastAsia"/>
        </w:rPr>
        <w:t>个行业碳排放与报告要求，《碳排放核算与报告要求</w:t>
      </w:r>
      <w:r>
        <w:t xml:space="preserve"> 第15部分：石油化工企业</w:t>
      </w:r>
      <w:r>
        <w:rPr>
          <w:rFonts w:hint="eastAsia"/>
        </w:rPr>
        <w:t>》（G</w:t>
      </w:r>
      <w:r>
        <w:t>B/T 32151-2023</w:t>
      </w:r>
      <w:r>
        <w:rPr>
          <w:rFonts w:hint="eastAsia"/>
        </w:rPr>
        <w:t>）（简称“要求”）适用于乙烯装置碳排放核算。</w:t>
      </w:r>
    </w:p>
    <w:p w14:paraId="3641F48E">
      <w:pPr>
        <w:pStyle w:val="17"/>
        <w:ind w:firstLine="480"/>
      </w:pPr>
      <w:r>
        <w:rPr>
          <w:rFonts w:hint="eastAsia"/>
        </w:rPr>
        <w:t>本标准制定的目的是通过划定乙烯装置碳排放强度限额的等级，促进企业对标行业先进碳排放水平，确保实现碳达峰、碳中和目标，推动我国乙烯工业向高质量、绿色低碳发展新阶段的转型。</w:t>
      </w:r>
    </w:p>
    <w:p w14:paraId="1B4FCB7F">
      <w:pPr>
        <w:pStyle w:val="3"/>
        <w:spacing w:before="156" w:after="156"/>
      </w:pPr>
      <w:r>
        <w:rPr>
          <w:rFonts w:hint="eastAsia"/>
        </w:rPr>
        <w:t>主要工作过程</w:t>
      </w:r>
    </w:p>
    <w:p w14:paraId="5D77EC21">
      <w:pPr>
        <w:pStyle w:val="17"/>
        <w:ind w:firstLine="480"/>
      </w:pPr>
      <w:r>
        <w:rPr>
          <w:rFonts w:hint="eastAsia"/>
        </w:rPr>
        <w:t>本标准由</w:t>
      </w:r>
      <w:r>
        <w:t>中国石油和化学工业联合会</w:t>
      </w:r>
      <w:r>
        <w:rPr>
          <w:rFonts w:hint="eastAsia"/>
        </w:rPr>
        <w:t>归口并组织制定，生态环境部环境工程评估中心</w:t>
      </w:r>
      <w:r>
        <w:rPr>
          <w:rFonts w:hint="eastAsia"/>
          <w:lang w:val="en-US" w:eastAsia="zh-CN"/>
        </w:rPr>
        <w:t>等13家单位</w:t>
      </w:r>
      <w:bookmarkStart w:id="7" w:name="_GoBack"/>
      <w:bookmarkEnd w:id="7"/>
      <w:r>
        <w:rPr>
          <w:rFonts w:hint="eastAsia"/>
        </w:rPr>
        <w:t>组织有关人员成立标准制定工作组，本标准于</w:t>
      </w:r>
      <w:r>
        <w:t>2023</w:t>
      </w:r>
      <w:r>
        <w:rPr>
          <w:rFonts w:hint="eastAsia"/>
        </w:rPr>
        <w:t>年</w:t>
      </w:r>
      <w:r>
        <w:t>7</w:t>
      </w:r>
      <w:r>
        <w:rPr>
          <w:rFonts w:hint="eastAsia"/>
        </w:rPr>
        <w:t>月启动编制。</w:t>
      </w:r>
    </w:p>
    <w:p w14:paraId="7DD28999">
      <w:pPr>
        <w:pStyle w:val="17"/>
        <w:ind w:firstLine="480"/>
      </w:pPr>
      <w:r>
        <w:rPr>
          <w:rFonts w:hint="eastAsia"/>
        </w:rPr>
        <w:t>主要的工作过程如下：</w:t>
      </w:r>
    </w:p>
    <w:p w14:paraId="10F59F28">
      <w:pPr>
        <w:pStyle w:val="17"/>
        <w:numPr>
          <w:ilvl w:val="0"/>
          <w:numId w:val="2"/>
        </w:numPr>
        <w:ind w:firstLineChars="0"/>
      </w:pPr>
      <w:r>
        <w:rPr>
          <w:rFonts w:hint="eastAsia"/>
        </w:rPr>
        <w:t>成立标准编制小组</w:t>
      </w:r>
    </w:p>
    <w:p w14:paraId="39E77CA6">
      <w:pPr>
        <w:pStyle w:val="17"/>
        <w:ind w:firstLine="480"/>
      </w:pPr>
      <w:r>
        <w:rPr>
          <w:rFonts w:hint="eastAsia"/>
        </w:rPr>
        <w:t>2</w:t>
      </w:r>
      <w:r>
        <w:t>023</w:t>
      </w:r>
      <w:r>
        <w:rPr>
          <w:rFonts w:hint="eastAsia"/>
        </w:rPr>
        <w:t>年</w:t>
      </w:r>
      <w:r>
        <w:t>7</w:t>
      </w:r>
      <w:r>
        <w:rPr>
          <w:rFonts w:hint="eastAsia"/>
        </w:rPr>
        <w:t>月，成立标准编制小组，按照《标准化工作导则 第1部分：标准化文件的结构和起草规则》（</w:t>
      </w:r>
      <w:r>
        <w:t>GB/T 1.1-20</w:t>
      </w:r>
      <w:r>
        <w:rPr>
          <w:rFonts w:hint="eastAsia"/>
        </w:rPr>
        <w:t>20）要求，制定工作计划并开展标准编制前期研究工作。</w:t>
      </w:r>
    </w:p>
    <w:p w14:paraId="00A5D236">
      <w:pPr>
        <w:pStyle w:val="17"/>
        <w:numPr>
          <w:ilvl w:val="0"/>
          <w:numId w:val="2"/>
        </w:numPr>
        <w:ind w:firstLineChars="0"/>
      </w:pPr>
      <w:r>
        <w:rPr>
          <w:rFonts w:hint="eastAsia"/>
        </w:rPr>
        <w:t>查询国内外相关标准和文献资料</w:t>
      </w:r>
    </w:p>
    <w:p w14:paraId="747E164A">
      <w:pPr>
        <w:pStyle w:val="17"/>
        <w:ind w:firstLine="480"/>
      </w:pPr>
      <w:r>
        <w:rPr>
          <w:rFonts w:hint="eastAsia"/>
        </w:rPr>
        <w:t>课题组对国内乙烯装置碳排放估算方法、碳排放特征和强度、碳减排措施、碳排放限额等相关资料和情况开展研究，主要包括：国内外相关标准的查阅；国内外乙烯装置碳排放现状相关文献及研究成果。在文献梳理和初步调研的基础上，结合我国乙烯装置碳排放现状，制定了标准编制的基本原则和技术方法。</w:t>
      </w:r>
    </w:p>
    <w:p w14:paraId="242A0953">
      <w:pPr>
        <w:pStyle w:val="17"/>
        <w:numPr>
          <w:ilvl w:val="0"/>
          <w:numId w:val="2"/>
        </w:numPr>
        <w:ind w:firstLineChars="0"/>
      </w:pPr>
      <w:r>
        <w:rPr>
          <w:rFonts w:hint="eastAsia"/>
        </w:rPr>
        <w:t>编写开题报告并召开开题论证会</w:t>
      </w:r>
    </w:p>
    <w:p w14:paraId="7BB47E81">
      <w:pPr>
        <w:pStyle w:val="17"/>
        <w:ind w:firstLine="480"/>
      </w:pPr>
      <w:r>
        <w:t>2023</w:t>
      </w:r>
      <w:r>
        <w:rPr>
          <w:rFonts w:hint="eastAsia"/>
        </w:rPr>
        <w:t>年</w:t>
      </w:r>
      <w:r>
        <w:t>11</w:t>
      </w:r>
      <w:r>
        <w:rPr>
          <w:rFonts w:hint="eastAsia"/>
        </w:rPr>
        <w:t>月</w:t>
      </w:r>
      <w:r>
        <w:t>28</w:t>
      </w:r>
      <w:r>
        <w:rPr>
          <w:rFonts w:hint="eastAsia"/>
        </w:rPr>
        <w:t>日，在北京组织召开了项目的开题报告论证会，课题组汇报了标准编制的目的意义、研究思路、技术方法、内容框架和实施计划等重要内容，听取了与会专家的意见和建议。</w:t>
      </w:r>
    </w:p>
    <w:p w14:paraId="56661465">
      <w:pPr>
        <w:pStyle w:val="17"/>
        <w:numPr>
          <w:ilvl w:val="0"/>
          <w:numId w:val="2"/>
        </w:numPr>
        <w:ind w:firstLineChars="0"/>
      </w:pPr>
      <w:r>
        <w:rPr>
          <w:rFonts w:hint="eastAsia"/>
        </w:rPr>
        <w:t>乙烯装置碳排放核算方法研究和碳排放数据收集</w:t>
      </w:r>
    </w:p>
    <w:p w14:paraId="25295882">
      <w:pPr>
        <w:pStyle w:val="17"/>
        <w:ind w:firstLine="480"/>
        <w:rPr>
          <w:rStyle w:val="18"/>
        </w:rPr>
      </w:pPr>
      <w:r>
        <w:rPr>
          <w:rStyle w:val="18"/>
        </w:rPr>
        <w:t>2023</w:t>
      </w:r>
      <w:r>
        <w:rPr>
          <w:rStyle w:val="18"/>
          <w:rFonts w:hint="eastAsia"/>
        </w:rPr>
        <w:t>年</w:t>
      </w:r>
      <w:r>
        <w:rPr>
          <w:rStyle w:val="18"/>
        </w:rPr>
        <w:t>12</w:t>
      </w:r>
      <w:r>
        <w:rPr>
          <w:rStyle w:val="18"/>
          <w:rFonts w:hint="eastAsia"/>
        </w:rPr>
        <w:t>月，项目组在北京召开研讨会，在深入研究欧盟乙烯行业碳排放核算方法的基础上，形成调研清单，并根据外企对调研清单的反馈，明确高附加值产品核算范围。经深入研究、讨论，形成初步的乙烯碳排放基准数据收集表并分发给各有中石化、中石油、恒力、浙石化等企业乙烯装置的企业，开展数据收集工作。</w:t>
      </w:r>
    </w:p>
    <w:p w14:paraId="3E3549B2">
      <w:pPr>
        <w:pStyle w:val="17"/>
        <w:ind w:firstLine="480"/>
        <w:rPr>
          <w:rStyle w:val="18"/>
        </w:rPr>
      </w:pPr>
      <w:r>
        <w:rPr>
          <w:rStyle w:val="18"/>
        </w:rPr>
        <w:t>2023</w:t>
      </w:r>
      <w:r>
        <w:rPr>
          <w:rStyle w:val="18"/>
          <w:rFonts w:hint="eastAsia"/>
        </w:rPr>
        <w:t>年</w:t>
      </w:r>
      <w:r>
        <w:rPr>
          <w:rStyle w:val="18"/>
        </w:rPr>
        <w:t>12</w:t>
      </w:r>
      <w:r>
        <w:rPr>
          <w:rStyle w:val="18"/>
          <w:rFonts w:hint="eastAsia"/>
        </w:rPr>
        <w:t>月</w:t>
      </w:r>
      <w:r>
        <w:rPr>
          <w:rStyle w:val="18"/>
        </w:rPr>
        <w:t>~2024</w:t>
      </w:r>
      <w:r>
        <w:rPr>
          <w:rStyle w:val="18"/>
          <w:rFonts w:hint="eastAsia"/>
        </w:rPr>
        <w:t>年</w:t>
      </w:r>
      <w:r>
        <w:rPr>
          <w:rStyle w:val="18"/>
        </w:rPr>
        <w:t>6</w:t>
      </w:r>
      <w:r>
        <w:rPr>
          <w:rStyle w:val="18"/>
          <w:rFonts w:hint="eastAsia"/>
        </w:rPr>
        <w:t>月，先后赴中石化镇海炼化、中石化海南炼化等企业调研，了解企业目前实际减污降碳措施，如裂解炉烟气余热回收、三机电驱、C</w:t>
      </w:r>
      <w:r>
        <w:rPr>
          <w:rStyle w:val="18"/>
        </w:rPr>
        <w:t>CUS</w:t>
      </w:r>
      <w:r>
        <w:rPr>
          <w:rStyle w:val="18"/>
          <w:rFonts w:hint="eastAsia"/>
        </w:rPr>
        <w:t>等；了解企业火炬热值仪设置情况等；沟通企业在进行碳排放核算及填写基准数据收集表过程中存在的问题。根据现场调研反馈，完善、更新基准数据收集表，继续数据收集工作。</w:t>
      </w:r>
    </w:p>
    <w:p w14:paraId="1D58FCAB">
      <w:pPr>
        <w:pStyle w:val="17"/>
        <w:ind w:firstLine="480"/>
        <w:rPr>
          <w:rStyle w:val="18"/>
        </w:rPr>
      </w:pPr>
      <w:r>
        <w:rPr>
          <w:rStyle w:val="18"/>
          <w:rFonts w:hint="eastAsia"/>
        </w:rPr>
        <w:t>2</w:t>
      </w:r>
      <w:r>
        <w:rPr>
          <w:rStyle w:val="18"/>
        </w:rPr>
        <w:t>024</w:t>
      </w:r>
      <w:r>
        <w:rPr>
          <w:rStyle w:val="18"/>
          <w:rFonts w:hint="eastAsia"/>
        </w:rPr>
        <w:t>年</w:t>
      </w:r>
      <w:r>
        <w:rPr>
          <w:rStyle w:val="18"/>
        </w:rPr>
        <w:t>1</w:t>
      </w:r>
      <w:r>
        <w:rPr>
          <w:rStyle w:val="18"/>
          <w:rFonts w:hint="eastAsia"/>
        </w:rPr>
        <w:t>月</w:t>
      </w:r>
      <w:r>
        <w:rPr>
          <w:rStyle w:val="18"/>
        </w:rPr>
        <w:t>~2024</w:t>
      </w:r>
      <w:r>
        <w:rPr>
          <w:rStyle w:val="18"/>
          <w:rFonts w:hint="eastAsia"/>
        </w:rPr>
        <w:t>年</w:t>
      </w:r>
      <w:r>
        <w:rPr>
          <w:rStyle w:val="18"/>
        </w:rPr>
        <w:t>8</w:t>
      </w:r>
      <w:r>
        <w:rPr>
          <w:rStyle w:val="18"/>
          <w:rFonts w:hint="eastAsia"/>
        </w:rPr>
        <w:t>月，先后收集中石化8家、中石油</w:t>
      </w:r>
      <w:r>
        <w:rPr>
          <w:rStyle w:val="18"/>
        </w:rPr>
        <w:t>8家、</w:t>
      </w:r>
      <w:r>
        <w:rPr>
          <w:rStyle w:val="18"/>
          <w:rFonts w:hint="eastAsia"/>
        </w:rPr>
        <w:t>中海壳牌、陕西延长中煤榆林、恒力石化、浙石化、联泓新材料等企业的补充数据表。</w:t>
      </w:r>
    </w:p>
    <w:p w14:paraId="79E1FF23">
      <w:pPr>
        <w:pStyle w:val="17"/>
        <w:numPr>
          <w:ilvl w:val="0"/>
          <w:numId w:val="2"/>
        </w:numPr>
        <w:ind w:firstLineChars="0"/>
      </w:pPr>
      <w:r>
        <w:rPr>
          <w:rFonts w:hint="eastAsia"/>
        </w:rPr>
        <w:t>编制初稿并组织讨论</w:t>
      </w:r>
    </w:p>
    <w:p w14:paraId="6E05EBCE">
      <w:pPr>
        <w:pStyle w:val="17"/>
        <w:ind w:firstLine="480"/>
        <w:rPr>
          <w:rStyle w:val="18"/>
        </w:rPr>
      </w:pPr>
      <w:r>
        <w:rPr>
          <w:rStyle w:val="18"/>
          <w:rFonts w:hint="eastAsia"/>
        </w:rPr>
        <w:t>2</w:t>
      </w:r>
      <w:r>
        <w:rPr>
          <w:rStyle w:val="18"/>
        </w:rPr>
        <w:t>024年9月~2024</w:t>
      </w:r>
      <w:r>
        <w:rPr>
          <w:rStyle w:val="18"/>
          <w:rFonts w:hint="eastAsia"/>
        </w:rPr>
        <w:t>年</w:t>
      </w:r>
      <w:r>
        <w:rPr>
          <w:rStyle w:val="18"/>
        </w:rPr>
        <w:t>10</w:t>
      </w:r>
      <w:r>
        <w:rPr>
          <w:rStyle w:val="18"/>
          <w:rFonts w:hint="eastAsia"/>
        </w:rPr>
        <w:t>月，工作组根据前期调研与研究成果，整理数据，剔除明显不合理数据，初步完成了标准草案的编制，期间邀请行业专家针对标准草案开展了多次线上线下交流讨论会，针对标准中的主要条目和内容开展详细的研讨。</w:t>
      </w:r>
    </w:p>
    <w:p w14:paraId="7434350B">
      <w:pPr>
        <w:pStyle w:val="17"/>
        <w:numPr>
          <w:ilvl w:val="0"/>
          <w:numId w:val="2"/>
        </w:numPr>
        <w:ind w:firstLineChars="0"/>
      </w:pPr>
      <w:r>
        <w:rPr>
          <w:rFonts w:hint="eastAsia"/>
        </w:rPr>
        <w:t>行程标准征求意见稿</w:t>
      </w:r>
    </w:p>
    <w:p w14:paraId="11E3E6E7">
      <w:pPr>
        <w:pStyle w:val="17"/>
        <w:ind w:firstLine="480"/>
        <w:rPr>
          <w:rStyle w:val="18"/>
        </w:rPr>
      </w:pPr>
      <w:r>
        <w:rPr>
          <w:rStyle w:val="18"/>
          <w:rFonts w:hint="eastAsia"/>
        </w:rPr>
        <w:t>2</w:t>
      </w:r>
      <w:r>
        <w:rPr>
          <w:rStyle w:val="18"/>
        </w:rPr>
        <w:t>024年10月</w:t>
      </w:r>
      <w:r>
        <w:rPr>
          <w:rStyle w:val="18"/>
          <w:rFonts w:hint="eastAsia"/>
        </w:rPr>
        <w:t>，课题组针对标准适用范围、术语定义、技术要求、统计范围和计算方法、减污减碳管理及措施等进行逐条讨论与校对，编制形成《乙烯装置碳排放基准》（征求意见稿）及编制说明。</w:t>
      </w:r>
    </w:p>
    <w:p w14:paraId="6F1DE1CA">
      <w:pPr>
        <w:pStyle w:val="2"/>
        <w:spacing w:before="156" w:after="156"/>
        <w:rPr>
          <w:bCs/>
          <w:smallCaps/>
          <w:kern w:val="2"/>
          <w:sz w:val="36"/>
          <w:szCs w:val="28"/>
        </w:rPr>
      </w:pPr>
      <w:r>
        <w:rPr>
          <w:rFonts w:hint="eastAsia"/>
          <w:bCs/>
          <w:smallCaps/>
          <w:kern w:val="2"/>
          <w:sz w:val="36"/>
          <w:szCs w:val="28"/>
        </w:rPr>
        <w:t>标准制定的必要性和意义</w:t>
      </w:r>
    </w:p>
    <w:p w14:paraId="5D75DDEC">
      <w:pPr>
        <w:pStyle w:val="17"/>
        <w:ind w:firstLine="480"/>
      </w:pPr>
      <w:r>
        <w:t>《中共中央 国务院关于完整准确全面贯彻新发展理念做好碳达峰碳中和工作的意见》</w:t>
      </w:r>
      <w:r>
        <w:rPr>
          <w:rFonts w:hint="eastAsia"/>
        </w:rPr>
        <w:t>（以下简称《意见》）</w:t>
      </w:r>
      <w:r>
        <w:t>提出“建立健全碳达峰、碳中和标准计量体系”，以标准体系的建立统筹碳排放标准有序发展。在具体标准制修订上，《意见》提出</w:t>
      </w:r>
      <w:r>
        <w:rPr>
          <w:rFonts w:hint="eastAsia"/>
          <w:b/>
          <w:bCs/>
        </w:rPr>
        <w:t>“制定重点行业和产品温室气体排放标准，完善低碳产品标准标识制度。</w:t>
      </w:r>
      <w:r>
        <w:rPr>
          <w:rFonts w:hint="eastAsia"/>
        </w:rPr>
        <w:t>”《意见》提出“积极参与相关国际标准制定，加强标准国际衔接”，在全球碳排放标准发展中贡献中国力量。此外，《减污降碳协同增效实施方案》也提出“研究制定重点行业温室气体排放标准”的要求。</w:t>
      </w:r>
    </w:p>
    <w:p w14:paraId="6B69209D">
      <w:pPr>
        <w:pStyle w:val="17"/>
        <w:ind w:firstLine="480"/>
      </w:pPr>
      <w:r>
        <w:rPr>
          <w:rFonts w:hint="eastAsia"/>
        </w:rPr>
        <w:t>标准是经济活动和社会发展的重要支撑，做好碳核算和减污降碳排放标准的研制工作，突出标准引领作用，充分发挥碳排放标准系统协调与整体推进作用，能够有效推动我国低碳发展。乙烯装置作为高碳排放装置，更应该贯彻落实《中共中央</w:t>
      </w:r>
      <w:r>
        <w:t xml:space="preserve"> 国务院关于完整准确全面贯彻新发展理念做好碳达峰碳中和工作的意见</w:t>
      </w:r>
      <w:r>
        <w:rPr>
          <w:rFonts w:hint="eastAsia"/>
        </w:rPr>
        <w:t>》要求，积极开展碳排放标准制订工作，有效遏制“两高”项目盲目发展，推动乙烯装置绿色低碳转型、引领推进高质量发展，确定如期实现碳达峰目标。</w:t>
      </w:r>
    </w:p>
    <w:p w14:paraId="16E12259">
      <w:pPr>
        <w:pStyle w:val="17"/>
        <w:ind w:firstLine="480"/>
      </w:pPr>
      <w:r>
        <w:rPr>
          <w:rFonts w:hint="eastAsia"/>
        </w:rPr>
        <w:t>对拟建、在建项目，应对照减污降碳标杆水平建设实施，推动减污降碳水平应提尽提，力争全面达到标杆水平。对能效低于本行业基准水平的存量项目，合理设置政策实施过渡期，引导企业有序开展减污降碳技术改造，提高生产运行效率，坚决依法依规淘汰落后产能、落后工艺、落后产品。加强绿色低碳工艺技术装备推广应用，促进形成强大国内市场。</w:t>
      </w:r>
    </w:p>
    <w:p w14:paraId="59FB30A1">
      <w:pPr>
        <w:pStyle w:val="17"/>
        <w:ind w:firstLine="480"/>
      </w:pPr>
      <w:r>
        <w:rPr>
          <w:rFonts w:hint="eastAsia"/>
        </w:rPr>
        <w:t>综上，研究和指定乙烯碳排放基准既是碳达峰顶层设计文件的要求，亦是现实实现“双碳”目标的具体重要举措。</w:t>
      </w:r>
    </w:p>
    <w:p w14:paraId="246112BF">
      <w:pPr>
        <w:pStyle w:val="2"/>
        <w:spacing w:before="156" w:after="156"/>
      </w:pPr>
      <w:r>
        <w:rPr>
          <w:rFonts w:hint="eastAsia"/>
        </w:rPr>
        <w:t>行业概况</w:t>
      </w:r>
    </w:p>
    <w:p w14:paraId="3B18EEEC">
      <w:pPr>
        <w:pStyle w:val="3"/>
        <w:spacing w:before="156" w:after="156"/>
      </w:pPr>
      <w:r>
        <w:rPr>
          <w:rFonts w:hint="eastAsia"/>
        </w:rPr>
        <w:t>乙烯行业发展现状</w:t>
      </w:r>
    </w:p>
    <w:p w14:paraId="5B6EA594">
      <w:pPr>
        <w:pStyle w:val="17"/>
        <w:ind w:firstLine="480"/>
      </w:pPr>
      <w:bookmarkStart w:id="1" w:name="_Hlk120513186"/>
      <w:r>
        <w:rPr>
          <w:rFonts w:hint="eastAsia"/>
        </w:rPr>
        <w:t>截至2</w:t>
      </w:r>
      <w:r>
        <w:t>023</w:t>
      </w:r>
      <w:r>
        <w:rPr>
          <w:rFonts w:hint="eastAsia"/>
        </w:rPr>
        <w:t>年底，中国乙烯企业6</w:t>
      </w:r>
      <w:r>
        <w:t>7</w:t>
      </w:r>
      <w:r>
        <w:rPr>
          <w:rFonts w:hint="eastAsia"/>
        </w:rPr>
        <w:t>家，合计产能达到了5</w:t>
      </w:r>
      <w:r>
        <w:t>150</w:t>
      </w:r>
      <w:r>
        <w:rPr>
          <w:rFonts w:hint="eastAsia"/>
        </w:rPr>
        <w:t>万吨/年，中国已超过美国，成为世界乙烯产能第一大国。</w:t>
      </w:r>
    </w:p>
    <w:p w14:paraId="34DDF13F">
      <w:pPr>
        <w:pStyle w:val="17"/>
        <w:ind w:firstLine="480"/>
      </w:pPr>
      <w:r>
        <w:rPr>
          <w:rFonts w:hint="eastAsia"/>
        </w:rPr>
        <w:t>从生产工艺的分布来看，前十位企业大部分为一体化项目，其余装置均以石脑油裂解为主，目前已经逐步开始向轻烃</w:t>
      </w:r>
      <w:r>
        <w:t>+石脑油工艺转化，一方面可以提高乙烯产出率，另一方面可以降低企业成本压力，与国家大力鼓励发展原料轻质化的政策相吻合。目前我国仍有大量在建和拟建的乙烯项目，未来几年产能仍将持续增长</w:t>
      </w:r>
      <w:r>
        <w:rPr>
          <w:rFonts w:hint="eastAsia"/>
        </w:rPr>
        <w:t>。</w:t>
      </w:r>
    </w:p>
    <w:p w14:paraId="0195CF0C">
      <w:pPr>
        <w:pStyle w:val="17"/>
        <w:ind w:firstLine="480"/>
      </w:pPr>
      <w:r>
        <w:rPr>
          <w:rFonts w:hint="eastAsia"/>
        </w:rPr>
        <w:t>从原料</w:t>
      </w:r>
      <w:r>
        <w:t>/工艺路线来看，</w:t>
      </w:r>
      <w:r>
        <w:rPr>
          <w:rFonts w:hint="eastAsia"/>
        </w:rPr>
        <w:t>蒸汽裂解制乙烯总产能为</w:t>
      </w:r>
      <w:r>
        <w:t>4319</w:t>
      </w:r>
      <w:r>
        <w:rPr>
          <w:rFonts w:hint="eastAsia"/>
        </w:rPr>
        <w:t>万吨/年，占比</w:t>
      </w:r>
      <w:r>
        <w:t>83.86%</w:t>
      </w:r>
      <w:r>
        <w:rPr>
          <w:rFonts w:hint="eastAsia"/>
        </w:rPr>
        <w:t>，其中有</w:t>
      </w:r>
      <w:r>
        <w:t>7套轻烃(乙烷、丙烷、丁烷等)裂解装置，乙烯产能618万吨/年，占比12.00%</w:t>
      </w:r>
      <w:r>
        <w:rPr>
          <w:rFonts w:hint="eastAsia"/>
        </w:rPr>
        <w:t>；</w:t>
      </w:r>
      <w:r>
        <w:t>煤制烯烃路线乙烯产能494万吨/年，占比9.59%</w:t>
      </w:r>
      <w:r>
        <w:rPr>
          <w:rFonts w:hint="eastAsia"/>
        </w:rPr>
        <w:t>；</w:t>
      </w:r>
      <w:r>
        <w:t>甲醇制烯烃路线乙烯产能277万吨/年，占比5.38%</w:t>
      </w:r>
      <w:r>
        <w:rPr>
          <w:rFonts w:hint="eastAsia"/>
        </w:rPr>
        <w:t>；</w:t>
      </w:r>
      <w:r>
        <w:t>此外，还有3套化裂解制烯烃(CPPACO)装置，合计乙烯产能60万吨/年，占比1.17%</w:t>
      </w:r>
      <w:r>
        <w:rPr>
          <w:rFonts w:hint="eastAsia"/>
        </w:rPr>
        <w:t>。</w:t>
      </w:r>
    </w:p>
    <w:p w14:paraId="60084A0D">
      <w:pPr>
        <w:pStyle w:val="17"/>
        <w:ind w:firstLine="480"/>
      </w:pPr>
      <w:r>
        <w:rPr>
          <w:rFonts w:hint="eastAsia"/>
        </w:rPr>
        <w:t>截至2</w:t>
      </w:r>
      <w:r>
        <w:t>023</w:t>
      </w:r>
      <w:r>
        <w:rPr>
          <w:rFonts w:hint="eastAsia"/>
        </w:rPr>
        <w:t>年底，我国蒸汽裂解制乙烯生产企业中1</w:t>
      </w:r>
      <w:r>
        <w:t>00</w:t>
      </w:r>
      <w:r>
        <w:rPr>
          <w:rFonts w:hint="eastAsia"/>
        </w:rPr>
        <w:t>万吨/年及以上乙烯生产企业1</w:t>
      </w:r>
      <w:r>
        <w:t>8</w:t>
      </w:r>
      <w:r>
        <w:rPr>
          <w:rFonts w:hint="eastAsia"/>
        </w:rPr>
        <w:t>家，乙烯产能2</w:t>
      </w:r>
      <w:r>
        <w:t>766</w:t>
      </w:r>
      <w:r>
        <w:rPr>
          <w:rFonts w:hint="eastAsia"/>
        </w:rPr>
        <w:t>万吨/年，占蒸汽裂解制乙烯产能的</w:t>
      </w:r>
      <w:r>
        <w:t>64.0</w:t>
      </w:r>
      <w:r>
        <w:rPr>
          <w:rFonts w:hint="eastAsia"/>
        </w:rPr>
        <w:t>%；1</w:t>
      </w:r>
      <w:r>
        <w:t>00</w:t>
      </w:r>
      <w:r>
        <w:rPr>
          <w:rFonts w:hint="eastAsia"/>
        </w:rPr>
        <w:t>万吨/年及以上乙烯生产装置</w:t>
      </w:r>
      <w:r>
        <w:t>20</w:t>
      </w:r>
      <w:r>
        <w:rPr>
          <w:rFonts w:hint="eastAsia"/>
        </w:rPr>
        <w:t>套，乙烯产能</w:t>
      </w:r>
      <w:r>
        <w:t>2429</w:t>
      </w:r>
      <w:r>
        <w:rPr>
          <w:rFonts w:hint="eastAsia"/>
        </w:rPr>
        <w:t>万吨/年，占蒸汽裂解制乙烯产能的</w:t>
      </w:r>
      <w:r>
        <w:t>56.2</w:t>
      </w:r>
      <w:r>
        <w:rPr>
          <w:rFonts w:hint="eastAsia"/>
        </w:rPr>
        <w:t>%。从1</w:t>
      </w:r>
      <w:r>
        <w:t>00</w:t>
      </w:r>
      <w:r>
        <w:rPr>
          <w:rFonts w:hint="eastAsia"/>
        </w:rPr>
        <w:t>万吨/年及以上乙烯生产企业原料/工艺路线来看，连云港石化采用进口乙烷为原料，万华化学以进口丙烷等轻烃为主要原料，其余1</w:t>
      </w:r>
      <w:r>
        <w:t>6</w:t>
      </w:r>
      <w:r>
        <w:rPr>
          <w:rFonts w:hint="eastAsia"/>
        </w:rPr>
        <w:t>家以石脑油裂解为主。</w:t>
      </w:r>
    </w:p>
    <w:p w14:paraId="390DC198">
      <w:pPr>
        <w:pStyle w:val="17"/>
        <w:ind w:firstLine="480"/>
        <w:jc w:val="center"/>
      </w:pPr>
      <w:r>
        <w:rPr>
          <w:rFonts w:hint="eastAsia"/>
        </w:rPr>
        <w:t>表3</w:t>
      </w:r>
      <w:r>
        <w:t xml:space="preserve">.1-1    </w:t>
      </w:r>
      <w:r>
        <w:rPr>
          <w:rFonts w:hint="eastAsia"/>
        </w:rPr>
        <w:t>2</w:t>
      </w:r>
      <w:r>
        <w:t>023</w:t>
      </w:r>
      <w:r>
        <w:rPr>
          <w:rFonts w:hint="eastAsia"/>
        </w:rPr>
        <w:t>年中国百万吨以上乙烯生产企业产能统计</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260"/>
        <w:gridCol w:w="2258"/>
        <w:gridCol w:w="2074"/>
      </w:tblGrid>
      <w:tr w14:paraId="468E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FC8BB22">
            <w:pPr>
              <w:pStyle w:val="20"/>
            </w:pPr>
            <w:r>
              <w:rPr>
                <w:rFonts w:hint="eastAsia"/>
              </w:rPr>
              <w:t>序号</w:t>
            </w:r>
          </w:p>
        </w:tc>
        <w:tc>
          <w:tcPr>
            <w:tcW w:w="3260" w:type="dxa"/>
          </w:tcPr>
          <w:p w14:paraId="32BFFC2A">
            <w:pPr>
              <w:pStyle w:val="20"/>
            </w:pPr>
            <w:r>
              <w:rPr>
                <w:rFonts w:hint="eastAsia"/>
              </w:rPr>
              <w:t>企业名称</w:t>
            </w:r>
          </w:p>
        </w:tc>
        <w:tc>
          <w:tcPr>
            <w:tcW w:w="2258" w:type="dxa"/>
          </w:tcPr>
          <w:p w14:paraId="0A39B7EB">
            <w:pPr>
              <w:pStyle w:val="20"/>
            </w:pPr>
            <w:r>
              <w:rPr>
                <w:rFonts w:hint="eastAsia"/>
              </w:rPr>
              <w:t>乙烯产能（万吨/年）</w:t>
            </w:r>
          </w:p>
        </w:tc>
        <w:tc>
          <w:tcPr>
            <w:tcW w:w="2074" w:type="dxa"/>
          </w:tcPr>
          <w:p w14:paraId="635171FC">
            <w:pPr>
              <w:pStyle w:val="20"/>
            </w:pPr>
            <w:r>
              <w:rPr>
                <w:rFonts w:hint="eastAsia"/>
              </w:rPr>
              <w:t>工艺/原料路线</w:t>
            </w:r>
          </w:p>
        </w:tc>
      </w:tr>
      <w:tr w14:paraId="16F1B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B64BB8A">
            <w:pPr>
              <w:pStyle w:val="20"/>
            </w:pPr>
            <w:r>
              <w:rPr>
                <w:rFonts w:hint="eastAsia"/>
              </w:rPr>
              <w:t>1</w:t>
            </w:r>
          </w:p>
        </w:tc>
        <w:tc>
          <w:tcPr>
            <w:tcW w:w="3260" w:type="dxa"/>
          </w:tcPr>
          <w:p w14:paraId="127B81B1">
            <w:pPr>
              <w:pStyle w:val="20"/>
            </w:pPr>
            <w:r>
              <w:rPr>
                <w:rFonts w:hint="eastAsia"/>
              </w:rPr>
              <w:t>浙江石油化工有限公司</w:t>
            </w:r>
          </w:p>
        </w:tc>
        <w:tc>
          <w:tcPr>
            <w:tcW w:w="2258" w:type="dxa"/>
          </w:tcPr>
          <w:p w14:paraId="272B0DC9">
            <w:pPr>
              <w:pStyle w:val="20"/>
            </w:pPr>
            <w:r>
              <w:rPr>
                <w:rFonts w:hint="eastAsia"/>
              </w:rPr>
              <w:t>4</w:t>
            </w:r>
            <w:r>
              <w:t>20</w:t>
            </w:r>
          </w:p>
        </w:tc>
        <w:tc>
          <w:tcPr>
            <w:tcW w:w="2074" w:type="dxa"/>
          </w:tcPr>
          <w:p w14:paraId="39BCB17C">
            <w:pPr>
              <w:pStyle w:val="20"/>
            </w:pPr>
            <w:r>
              <w:rPr>
                <w:rFonts w:hint="eastAsia"/>
              </w:rPr>
              <w:t>石脑油裂解</w:t>
            </w:r>
          </w:p>
        </w:tc>
      </w:tr>
      <w:tr w14:paraId="6FA76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20F8D27">
            <w:pPr>
              <w:pStyle w:val="20"/>
            </w:pPr>
            <w:r>
              <w:rPr>
                <w:rFonts w:hint="eastAsia"/>
              </w:rPr>
              <w:t>2</w:t>
            </w:r>
          </w:p>
        </w:tc>
        <w:tc>
          <w:tcPr>
            <w:tcW w:w="3260" w:type="dxa"/>
          </w:tcPr>
          <w:p w14:paraId="39A703E2">
            <w:pPr>
              <w:pStyle w:val="20"/>
            </w:pPr>
            <w:r>
              <w:rPr>
                <w:rFonts w:hint="eastAsia"/>
              </w:rPr>
              <w:t>连云港石化有限公司</w:t>
            </w:r>
          </w:p>
        </w:tc>
        <w:tc>
          <w:tcPr>
            <w:tcW w:w="2258" w:type="dxa"/>
          </w:tcPr>
          <w:p w14:paraId="574CD276">
            <w:pPr>
              <w:pStyle w:val="20"/>
            </w:pPr>
            <w:r>
              <w:rPr>
                <w:rFonts w:hint="eastAsia"/>
              </w:rPr>
              <w:t>2</w:t>
            </w:r>
            <w:r>
              <w:t>50</w:t>
            </w:r>
          </w:p>
        </w:tc>
        <w:tc>
          <w:tcPr>
            <w:tcW w:w="2074" w:type="dxa"/>
          </w:tcPr>
          <w:p w14:paraId="3932DF25">
            <w:pPr>
              <w:pStyle w:val="20"/>
            </w:pPr>
            <w:r>
              <w:rPr>
                <w:rFonts w:hint="eastAsia"/>
              </w:rPr>
              <w:t>乙烷裂解</w:t>
            </w:r>
          </w:p>
        </w:tc>
      </w:tr>
      <w:tr w14:paraId="13CC5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3FF47D7">
            <w:pPr>
              <w:pStyle w:val="20"/>
            </w:pPr>
            <w:r>
              <w:rPr>
                <w:rFonts w:hint="eastAsia"/>
              </w:rPr>
              <w:t>3</w:t>
            </w:r>
          </w:p>
        </w:tc>
        <w:tc>
          <w:tcPr>
            <w:tcW w:w="3260" w:type="dxa"/>
          </w:tcPr>
          <w:p w14:paraId="7373C2DE">
            <w:pPr>
              <w:pStyle w:val="20"/>
            </w:pPr>
            <w:r>
              <w:rPr>
                <w:rFonts w:hint="eastAsia"/>
              </w:rPr>
              <w:t>中国石化镇海炼化分公司</w:t>
            </w:r>
          </w:p>
        </w:tc>
        <w:tc>
          <w:tcPr>
            <w:tcW w:w="2258" w:type="dxa"/>
          </w:tcPr>
          <w:p w14:paraId="3B07AE98">
            <w:pPr>
              <w:pStyle w:val="20"/>
            </w:pPr>
            <w:r>
              <w:rPr>
                <w:rFonts w:hint="eastAsia"/>
              </w:rPr>
              <w:t>2</w:t>
            </w:r>
            <w:r>
              <w:t>50</w:t>
            </w:r>
          </w:p>
        </w:tc>
        <w:tc>
          <w:tcPr>
            <w:tcW w:w="2074" w:type="dxa"/>
          </w:tcPr>
          <w:p w14:paraId="30C1BF15">
            <w:pPr>
              <w:pStyle w:val="20"/>
            </w:pPr>
            <w:r>
              <w:rPr>
                <w:rFonts w:hint="eastAsia"/>
              </w:rPr>
              <w:t>石脑油裂解</w:t>
            </w:r>
          </w:p>
        </w:tc>
      </w:tr>
      <w:tr w14:paraId="42580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0F91DA4">
            <w:pPr>
              <w:pStyle w:val="20"/>
            </w:pPr>
            <w:r>
              <w:rPr>
                <w:rFonts w:hint="eastAsia"/>
              </w:rPr>
              <w:t>4</w:t>
            </w:r>
          </w:p>
        </w:tc>
        <w:tc>
          <w:tcPr>
            <w:tcW w:w="3260" w:type="dxa"/>
          </w:tcPr>
          <w:p w14:paraId="0FF2E603">
            <w:pPr>
              <w:pStyle w:val="20"/>
            </w:pPr>
            <w:r>
              <w:rPr>
                <w:rFonts w:hint="eastAsia"/>
              </w:rPr>
              <w:t>中海壳牌石油化工有限公司</w:t>
            </w:r>
          </w:p>
        </w:tc>
        <w:tc>
          <w:tcPr>
            <w:tcW w:w="2258" w:type="dxa"/>
          </w:tcPr>
          <w:p w14:paraId="746EB4DD">
            <w:pPr>
              <w:pStyle w:val="20"/>
            </w:pPr>
            <w:r>
              <w:rPr>
                <w:rFonts w:hint="eastAsia"/>
              </w:rPr>
              <w:t>2</w:t>
            </w:r>
            <w:r>
              <w:t>15</w:t>
            </w:r>
          </w:p>
        </w:tc>
        <w:tc>
          <w:tcPr>
            <w:tcW w:w="2074" w:type="dxa"/>
          </w:tcPr>
          <w:p w14:paraId="561D6FD4">
            <w:pPr>
              <w:pStyle w:val="20"/>
            </w:pPr>
            <w:r>
              <w:rPr>
                <w:rFonts w:hint="eastAsia"/>
              </w:rPr>
              <w:t>石脑油裂解</w:t>
            </w:r>
          </w:p>
        </w:tc>
      </w:tr>
      <w:tr w14:paraId="4F48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6220AFC">
            <w:pPr>
              <w:pStyle w:val="20"/>
            </w:pPr>
            <w:r>
              <w:rPr>
                <w:rFonts w:hint="eastAsia"/>
              </w:rPr>
              <w:t>5</w:t>
            </w:r>
          </w:p>
        </w:tc>
        <w:tc>
          <w:tcPr>
            <w:tcW w:w="3260" w:type="dxa"/>
          </w:tcPr>
          <w:p w14:paraId="230C4156">
            <w:pPr>
              <w:pStyle w:val="20"/>
            </w:pPr>
            <w:r>
              <w:rPr>
                <w:rFonts w:hint="eastAsia"/>
              </w:rPr>
              <w:t>恒力石化（大连）有限公司</w:t>
            </w:r>
          </w:p>
        </w:tc>
        <w:tc>
          <w:tcPr>
            <w:tcW w:w="2258" w:type="dxa"/>
          </w:tcPr>
          <w:p w14:paraId="28334747">
            <w:pPr>
              <w:pStyle w:val="20"/>
            </w:pPr>
            <w:r>
              <w:rPr>
                <w:rFonts w:hint="eastAsia"/>
              </w:rPr>
              <w:t>1</w:t>
            </w:r>
            <w:r>
              <w:t>50</w:t>
            </w:r>
          </w:p>
        </w:tc>
        <w:tc>
          <w:tcPr>
            <w:tcW w:w="2074" w:type="dxa"/>
          </w:tcPr>
          <w:p w14:paraId="524229C3">
            <w:pPr>
              <w:pStyle w:val="20"/>
            </w:pPr>
            <w:r>
              <w:rPr>
                <w:rFonts w:hint="eastAsia"/>
              </w:rPr>
              <w:t>石脑油裂解</w:t>
            </w:r>
          </w:p>
        </w:tc>
      </w:tr>
      <w:tr w14:paraId="4E148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D0AC31E">
            <w:pPr>
              <w:pStyle w:val="20"/>
            </w:pPr>
            <w:r>
              <w:rPr>
                <w:rFonts w:hint="eastAsia"/>
              </w:rPr>
              <w:t>6</w:t>
            </w:r>
          </w:p>
        </w:tc>
        <w:tc>
          <w:tcPr>
            <w:tcW w:w="3260" w:type="dxa"/>
          </w:tcPr>
          <w:p w14:paraId="60EC2339">
            <w:pPr>
              <w:pStyle w:val="20"/>
            </w:pPr>
            <w:r>
              <w:rPr>
                <w:rFonts w:hint="eastAsia"/>
              </w:rPr>
              <w:t>中国石油独山子石化分公司</w:t>
            </w:r>
          </w:p>
        </w:tc>
        <w:tc>
          <w:tcPr>
            <w:tcW w:w="2258" w:type="dxa"/>
          </w:tcPr>
          <w:p w14:paraId="5E102CEE">
            <w:pPr>
              <w:pStyle w:val="20"/>
            </w:pPr>
            <w:r>
              <w:rPr>
                <w:rFonts w:hint="eastAsia"/>
              </w:rPr>
              <w:t>1</w:t>
            </w:r>
            <w:r>
              <w:t>37</w:t>
            </w:r>
          </w:p>
        </w:tc>
        <w:tc>
          <w:tcPr>
            <w:tcW w:w="2074" w:type="dxa"/>
          </w:tcPr>
          <w:p w14:paraId="2D987D87">
            <w:pPr>
              <w:pStyle w:val="20"/>
            </w:pPr>
            <w:r>
              <w:rPr>
                <w:rFonts w:hint="eastAsia"/>
              </w:rPr>
              <w:t>石脑油裂解</w:t>
            </w:r>
          </w:p>
        </w:tc>
      </w:tr>
      <w:tr w14:paraId="41F75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38FD461">
            <w:pPr>
              <w:pStyle w:val="20"/>
            </w:pPr>
            <w:r>
              <w:rPr>
                <w:rFonts w:hint="eastAsia"/>
              </w:rPr>
              <w:t>7</w:t>
            </w:r>
          </w:p>
        </w:tc>
        <w:tc>
          <w:tcPr>
            <w:tcW w:w="3260" w:type="dxa"/>
          </w:tcPr>
          <w:p w14:paraId="3FD34D9A">
            <w:pPr>
              <w:pStyle w:val="20"/>
            </w:pPr>
            <w:r>
              <w:rPr>
                <w:rFonts w:hint="eastAsia"/>
              </w:rPr>
              <w:t>中沙（天津）石化有限公司</w:t>
            </w:r>
          </w:p>
        </w:tc>
        <w:tc>
          <w:tcPr>
            <w:tcW w:w="2258" w:type="dxa"/>
          </w:tcPr>
          <w:p w14:paraId="2854E7E9">
            <w:pPr>
              <w:pStyle w:val="20"/>
            </w:pPr>
            <w:r>
              <w:rPr>
                <w:rFonts w:hint="eastAsia"/>
              </w:rPr>
              <w:t>1</w:t>
            </w:r>
            <w:r>
              <w:t>30</w:t>
            </w:r>
          </w:p>
        </w:tc>
        <w:tc>
          <w:tcPr>
            <w:tcW w:w="2074" w:type="dxa"/>
          </w:tcPr>
          <w:p w14:paraId="5C519CC0">
            <w:pPr>
              <w:pStyle w:val="20"/>
            </w:pPr>
            <w:r>
              <w:rPr>
                <w:rFonts w:hint="eastAsia"/>
              </w:rPr>
              <w:t>石脑油裂解</w:t>
            </w:r>
          </w:p>
        </w:tc>
      </w:tr>
      <w:tr w14:paraId="578A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9467891">
            <w:pPr>
              <w:pStyle w:val="20"/>
            </w:pPr>
            <w:r>
              <w:rPr>
                <w:rFonts w:hint="eastAsia"/>
              </w:rPr>
              <w:t>8</w:t>
            </w:r>
          </w:p>
        </w:tc>
        <w:tc>
          <w:tcPr>
            <w:tcW w:w="3260" w:type="dxa"/>
          </w:tcPr>
          <w:p w14:paraId="2F8C3655">
            <w:pPr>
              <w:pStyle w:val="20"/>
            </w:pPr>
            <w:r>
              <w:rPr>
                <w:rFonts w:hint="eastAsia"/>
              </w:rPr>
              <w:t>中国石油大庆石化分公司</w:t>
            </w:r>
          </w:p>
        </w:tc>
        <w:tc>
          <w:tcPr>
            <w:tcW w:w="2258" w:type="dxa"/>
          </w:tcPr>
          <w:p w14:paraId="310D24AF">
            <w:pPr>
              <w:pStyle w:val="20"/>
            </w:pPr>
            <w:r>
              <w:rPr>
                <w:rFonts w:hint="eastAsia"/>
              </w:rPr>
              <w:t>1</w:t>
            </w:r>
            <w:r>
              <w:t>20</w:t>
            </w:r>
          </w:p>
        </w:tc>
        <w:tc>
          <w:tcPr>
            <w:tcW w:w="2074" w:type="dxa"/>
          </w:tcPr>
          <w:p w14:paraId="60452431">
            <w:pPr>
              <w:pStyle w:val="20"/>
            </w:pPr>
            <w:r>
              <w:rPr>
                <w:rFonts w:hint="eastAsia"/>
              </w:rPr>
              <w:t>石脑油裂解</w:t>
            </w:r>
          </w:p>
        </w:tc>
      </w:tr>
      <w:tr w14:paraId="7676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E7BF7CD">
            <w:pPr>
              <w:pStyle w:val="20"/>
            </w:pPr>
            <w:r>
              <w:rPr>
                <w:rFonts w:hint="eastAsia"/>
              </w:rPr>
              <w:t>9</w:t>
            </w:r>
          </w:p>
        </w:tc>
        <w:tc>
          <w:tcPr>
            <w:tcW w:w="3260" w:type="dxa"/>
          </w:tcPr>
          <w:p w14:paraId="24DE57F4">
            <w:pPr>
              <w:pStyle w:val="20"/>
            </w:pPr>
            <w:r>
              <w:rPr>
                <w:rFonts w:hint="eastAsia"/>
              </w:rPr>
              <w:t>上海赛科石化有限公司</w:t>
            </w:r>
          </w:p>
        </w:tc>
        <w:tc>
          <w:tcPr>
            <w:tcW w:w="2258" w:type="dxa"/>
          </w:tcPr>
          <w:p w14:paraId="00E0F573">
            <w:pPr>
              <w:pStyle w:val="20"/>
            </w:pPr>
            <w:r>
              <w:rPr>
                <w:rFonts w:hint="eastAsia"/>
              </w:rPr>
              <w:t>1</w:t>
            </w:r>
            <w:r>
              <w:t>14</w:t>
            </w:r>
          </w:p>
        </w:tc>
        <w:tc>
          <w:tcPr>
            <w:tcW w:w="2074" w:type="dxa"/>
          </w:tcPr>
          <w:p w14:paraId="5134ED08">
            <w:pPr>
              <w:pStyle w:val="20"/>
            </w:pPr>
            <w:r>
              <w:rPr>
                <w:rFonts w:hint="eastAsia"/>
              </w:rPr>
              <w:t>石脑油裂解</w:t>
            </w:r>
          </w:p>
        </w:tc>
      </w:tr>
      <w:tr w14:paraId="07E90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D706F13">
            <w:pPr>
              <w:pStyle w:val="20"/>
            </w:pPr>
            <w:r>
              <w:rPr>
                <w:rFonts w:hint="eastAsia"/>
              </w:rPr>
              <w:t>1</w:t>
            </w:r>
            <w:r>
              <w:t>0</w:t>
            </w:r>
          </w:p>
        </w:tc>
        <w:tc>
          <w:tcPr>
            <w:tcW w:w="3260" w:type="dxa"/>
          </w:tcPr>
          <w:p w14:paraId="4D620870">
            <w:pPr>
              <w:pStyle w:val="20"/>
            </w:pPr>
            <w:r>
              <w:rPr>
                <w:rFonts w:hint="eastAsia"/>
              </w:rPr>
              <w:t>福建联合石化公司</w:t>
            </w:r>
          </w:p>
        </w:tc>
        <w:tc>
          <w:tcPr>
            <w:tcW w:w="2258" w:type="dxa"/>
          </w:tcPr>
          <w:p w14:paraId="44EA970A">
            <w:pPr>
              <w:pStyle w:val="20"/>
            </w:pPr>
            <w:r>
              <w:rPr>
                <w:rFonts w:hint="eastAsia"/>
              </w:rPr>
              <w:t>1</w:t>
            </w:r>
            <w:r>
              <w:t>10</w:t>
            </w:r>
          </w:p>
        </w:tc>
        <w:tc>
          <w:tcPr>
            <w:tcW w:w="2074" w:type="dxa"/>
          </w:tcPr>
          <w:p w14:paraId="76B1391D">
            <w:pPr>
              <w:pStyle w:val="20"/>
            </w:pPr>
            <w:r>
              <w:rPr>
                <w:rFonts w:hint="eastAsia"/>
              </w:rPr>
              <w:t>石脑油裂解</w:t>
            </w:r>
          </w:p>
        </w:tc>
      </w:tr>
      <w:tr w14:paraId="3BA70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308BA1A">
            <w:pPr>
              <w:pStyle w:val="20"/>
            </w:pPr>
            <w:r>
              <w:rPr>
                <w:rFonts w:hint="eastAsia"/>
              </w:rPr>
              <w:t>1</w:t>
            </w:r>
            <w:r>
              <w:t>1</w:t>
            </w:r>
          </w:p>
        </w:tc>
        <w:tc>
          <w:tcPr>
            <w:tcW w:w="3260" w:type="dxa"/>
          </w:tcPr>
          <w:p w14:paraId="50D83689">
            <w:pPr>
              <w:pStyle w:val="20"/>
            </w:pPr>
            <w:r>
              <w:rPr>
                <w:rFonts w:hint="eastAsia"/>
              </w:rPr>
              <w:t>中韩（武汉）石化有限公司</w:t>
            </w:r>
          </w:p>
        </w:tc>
        <w:tc>
          <w:tcPr>
            <w:tcW w:w="2258" w:type="dxa"/>
          </w:tcPr>
          <w:p w14:paraId="11B0FD5D">
            <w:pPr>
              <w:pStyle w:val="20"/>
            </w:pPr>
            <w:r>
              <w:rPr>
                <w:rFonts w:hint="eastAsia"/>
              </w:rPr>
              <w:t>1</w:t>
            </w:r>
            <w:r>
              <w:t>10</w:t>
            </w:r>
          </w:p>
        </w:tc>
        <w:tc>
          <w:tcPr>
            <w:tcW w:w="2074" w:type="dxa"/>
          </w:tcPr>
          <w:p w14:paraId="4DF49939">
            <w:pPr>
              <w:pStyle w:val="20"/>
            </w:pPr>
            <w:r>
              <w:rPr>
                <w:rFonts w:hint="eastAsia"/>
              </w:rPr>
              <w:t>石脑油裂解</w:t>
            </w:r>
          </w:p>
        </w:tc>
      </w:tr>
      <w:tr w14:paraId="6A80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0F6B391">
            <w:pPr>
              <w:pStyle w:val="20"/>
            </w:pPr>
            <w:r>
              <w:rPr>
                <w:rFonts w:hint="eastAsia"/>
              </w:rPr>
              <w:t>1</w:t>
            </w:r>
            <w:r>
              <w:t>2</w:t>
            </w:r>
          </w:p>
        </w:tc>
        <w:tc>
          <w:tcPr>
            <w:tcW w:w="3260" w:type="dxa"/>
          </w:tcPr>
          <w:p w14:paraId="635383FC">
            <w:pPr>
              <w:pStyle w:val="20"/>
            </w:pPr>
            <w:r>
              <w:rPr>
                <w:rFonts w:hint="eastAsia"/>
              </w:rPr>
              <w:t>盛虹炼化（连云港）有限公司</w:t>
            </w:r>
          </w:p>
        </w:tc>
        <w:tc>
          <w:tcPr>
            <w:tcW w:w="2258" w:type="dxa"/>
          </w:tcPr>
          <w:p w14:paraId="15FB513C">
            <w:pPr>
              <w:pStyle w:val="20"/>
            </w:pPr>
            <w:r>
              <w:rPr>
                <w:rFonts w:hint="eastAsia"/>
              </w:rPr>
              <w:t>1</w:t>
            </w:r>
            <w:r>
              <w:t>40</w:t>
            </w:r>
          </w:p>
        </w:tc>
        <w:tc>
          <w:tcPr>
            <w:tcW w:w="2074" w:type="dxa"/>
          </w:tcPr>
          <w:p w14:paraId="656839D8">
            <w:pPr>
              <w:pStyle w:val="20"/>
            </w:pPr>
            <w:r>
              <w:rPr>
                <w:rFonts w:hint="eastAsia"/>
              </w:rPr>
              <w:t>石脑油裂解</w:t>
            </w:r>
          </w:p>
        </w:tc>
      </w:tr>
      <w:tr w14:paraId="1BC91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C603799">
            <w:pPr>
              <w:pStyle w:val="20"/>
            </w:pPr>
            <w:r>
              <w:rPr>
                <w:rFonts w:hint="eastAsia"/>
              </w:rPr>
              <w:t>1</w:t>
            </w:r>
            <w:r>
              <w:t>3</w:t>
            </w:r>
          </w:p>
        </w:tc>
        <w:tc>
          <w:tcPr>
            <w:tcW w:w="3260" w:type="dxa"/>
          </w:tcPr>
          <w:p w14:paraId="2241CD96">
            <w:pPr>
              <w:pStyle w:val="20"/>
            </w:pPr>
            <w:r>
              <w:rPr>
                <w:rFonts w:hint="eastAsia"/>
              </w:rPr>
              <w:t>中国石化茂名分公司</w:t>
            </w:r>
          </w:p>
        </w:tc>
        <w:tc>
          <w:tcPr>
            <w:tcW w:w="2258" w:type="dxa"/>
          </w:tcPr>
          <w:p w14:paraId="5178C7A3">
            <w:pPr>
              <w:pStyle w:val="20"/>
            </w:pPr>
            <w:r>
              <w:rPr>
                <w:rFonts w:hint="eastAsia"/>
              </w:rPr>
              <w:t>1</w:t>
            </w:r>
            <w:r>
              <w:t>00</w:t>
            </w:r>
          </w:p>
        </w:tc>
        <w:tc>
          <w:tcPr>
            <w:tcW w:w="2074" w:type="dxa"/>
          </w:tcPr>
          <w:p w14:paraId="218F9162">
            <w:pPr>
              <w:pStyle w:val="20"/>
            </w:pPr>
            <w:r>
              <w:rPr>
                <w:rFonts w:hint="eastAsia"/>
              </w:rPr>
              <w:t>石脑油裂解</w:t>
            </w:r>
          </w:p>
        </w:tc>
      </w:tr>
      <w:tr w14:paraId="4F0EE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C5AD6DB">
            <w:pPr>
              <w:pStyle w:val="20"/>
            </w:pPr>
            <w:r>
              <w:rPr>
                <w:rFonts w:hint="eastAsia"/>
              </w:rPr>
              <w:t>1</w:t>
            </w:r>
            <w:r>
              <w:t>4</w:t>
            </w:r>
          </w:p>
        </w:tc>
        <w:tc>
          <w:tcPr>
            <w:tcW w:w="3260" w:type="dxa"/>
          </w:tcPr>
          <w:p w14:paraId="13F1340D">
            <w:pPr>
              <w:pStyle w:val="20"/>
            </w:pPr>
            <w:r>
              <w:rPr>
                <w:rFonts w:hint="eastAsia"/>
              </w:rPr>
              <w:t>宝来利安德巴塞尔石化有限公司</w:t>
            </w:r>
          </w:p>
        </w:tc>
        <w:tc>
          <w:tcPr>
            <w:tcW w:w="2258" w:type="dxa"/>
          </w:tcPr>
          <w:p w14:paraId="27669BCF">
            <w:pPr>
              <w:pStyle w:val="20"/>
            </w:pPr>
            <w:r>
              <w:rPr>
                <w:rFonts w:hint="eastAsia"/>
              </w:rPr>
              <w:t>1</w:t>
            </w:r>
            <w:r>
              <w:t>00</w:t>
            </w:r>
          </w:p>
        </w:tc>
        <w:tc>
          <w:tcPr>
            <w:tcW w:w="2074" w:type="dxa"/>
          </w:tcPr>
          <w:p w14:paraId="267419CF">
            <w:pPr>
              <w:pStyle w:val="20"/>
            </w:pPr>
            <w:r>
              <w:rPr>
                <w:rFonts w:hint="eastAsia"/>
              </w:rPr>
              <w:t>石脑油裂解</w:t>
            </w:r>
          </w:p>
        </w:tc>
      </w:tr>
      <w:tr w14:paraId="65E2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A3C6640">
            <w:pPr>
              <w:pStyle w:val="20"/>
            </w:pPr>
            <w:r>
              <w:rPr>
                <w:rFonts w:hint="eastAsia"/>
              </w:rPr>
              <w:t>1</w:t>
            </w:r>
            <w:r>
              <w:t>5</w:t>
            </w:r>
          </w:p>
        </w:tc>
        <w:tc>
          <w:tcPr>
            <w:tcW w:w="3260" w:type="dxa"/>
          </w:tcPr>
          <w:p w14:paraId="4A2B5B0C">
            <w:pPr>
              <w:pStyle w:val="20"/>
            </w:pPr>
            <w:r>
              <w:rPr>
                <w:rFonts w:hint="eastAsia"/>
              </w:rPr>
              <w:t>中化泉州石化有限公司</w:t>
            </w:r>
          </w:p>
        </w:tc>
        <w:tc>
          <w:tcPr>
            <w:tcW w:w="2258" w:type="dxa"/>
          </w:tcPr>
          <w:p w14:paraId="7C50C53B">
            <w:pPr>
              <w:pStyle w:val="20"/>
            </w:pPr>
            <w:r>
              <w:rPr>
                <w:rFonts w:hint="eastAsia"/>
              </w:rPr>
              <w:t>1</w:t>
            </w:r>
            <w:r>
              <w:t>00</w:t>
            </w:r>
          </w:p>
        </w:tc>
        <w:tc>
          <w:tcPr>
            <w:tcW w:w="2074" w:type="dxa"/>
          </w:tcPr>
          <w:p w14:paraId="41AB5B86">
            <w:pPr>
              <w:pStyle w:val="20"/>
            </w:pPr>
            <w:r>
              <w:rPr>
                <w:rFonts w:hint="eastAsia"/>
              </w:rPr>
              <w:t>石脑油裂解</w:t>
            </w:r>
          </w:p>
        </w:tc>
      </w:tr>
      <w:tr w14:paraId="7814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024A8FD">
            <w:pPr>
              <w:pStyle w:val="20"/>
            </w:pPr>
            <w:r>
              <w:rPr>
                <w:rFonts w:hint="eastAsia"/>
              </w:rPr>
              <w:t>1</w:t>
            </w:r>
            <w:r>
              <w:t>6</w:t>
            </w:r>
          </w:p>
        </w:tc>
        <w:tc>
          <w:tcPr>
            <w:tcW w:w="3260" w:type="dxa"/>
          </w:tcPr>
          <w:p w14:paraId="2973CB4D">
            <w:pPr>
              <w:pStyle w:val="20"/>
            </w:pPr>
            <w:r>
              <w:rPr>
                <w:rFonts w:hint="eastAsia"/>
              </w:rPr>
              <w:t>万华化学集团股份有限公司</w:t>
            </w:r>
          </w:p>
        </w:tc>
        <w:tc>
          <w:tcPr>
            <w:tcW w:w="2258" w:type="dxa"/>
          </w:tcPr>
          <w:p w14:paraId="5A4B1732">
            <w:pPr>
              <w:pStyle w:val="20"/>
            </w:pPr>
            <w:r>
              <w:rPr>
                <w:rFonts w:hint="eastAsia"/>
              </w:rPr>
              <w:t>1</w:t>
            </w:r>
            <w:r>
              <w:t>00</w:t>
            </w:r>
          </w:p>
        </w:tc>
        <w:tc>
          <w:tcPr>
            <w:tcW w:w="2074" w:type="dxa"/>
          </w:tcPr>
          <w:p w14:paraId="0DC5CB49">
            <w:pPr>
              <w:pStyle w:val="20"/>
            </w:pPr>
            <w:r>
              <w:rPr>
                <w:rFonts w:hint="eastAsia"/>
              </w:rPr>
              <w:t>轻烃裂解</w:t>
            </w:r>
          </w:p>
        </w:tc>
      </w:tr>
      <w:tr w14:paraId="7C5B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F05A8CA">
            <w:pPr>
              <w:pStyle w:val="20"/>
            </w:pPr>
            <w:r>
              <w:rPr>
                <w:rFonts w:hint="eastAsia"/>
              </w:rPr>
              <w:t>1</w:t>
            </w:r>
            <w:r>
              <w:t>7</w:t>
            </w:r>
          </w:p>
        </w:tc>
        <w:tc>
          <w:tcPr>
            <w:tcW w:w="3260" w:type="dxa"/>
          </w:tcPr>
          <w:p w14:paraId="37291551">
            <w:pPr>
              <w:pStyle w:val="20"/>
            </w:pPr>
            <w:r>
              <w:rPr>
                <w:rFonts w:hint="eastAsia"/>
              </w:rPr>
              <w:t>中国石化海南炼化分公司</w:t>
            </w:r>
          </w:p>
        </w:tc>
        <w:tc>
          <w:tcPr>
            <w:tcW w:w="2258" w:type="dxa"/>
          </w:tcPr>
          <w:p w14:paraId="3E23864A">
            <w:pPr>
              <w:pStyle w:val="20"/>
            </w:pPr>
            <w:r>
              <w:rPr>
                <w:rFonts w:hint="eastAsia"/>
              </w:rPr>
              <w:t>1</w:t>
            </w:r>
            <w:r>
              <w:t>00</w:t>
            </w:r>
          </w:p>
        </w:tc>
        <w:tc>
          <w:tcPr>
            <w:tcW w:w="2074" w:type="dxa"/>
          </w:tcPr>
          <w:p w14:paraId="73E391C2">
            <w:pPr>
              <w:pStyle w:val="20"/>
            </w:pPr>
            <w:r>
              <w:rPr>
                <w:rFonts w:hint="eastAsia"/>
              </w:rPr>
              <w:t>石脑油裂解</w:t>
            </w:r>
          </w:p>
        </w:tc>
      </w:tr>
      <w:tr w14:paraId="72E5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33953AB">
            <w:pPr>
              <w:pStyle w:val="20"/>
            </w:pPr>
            <w:r>
              <w:rPr>
                <w:rFonts w:hint="eastAsia"/>
              </w:rPr>
              <w:t>1</w:t>
            </w:r>
            <w:r>
              <w:t>8</w:t>
            </w:r>
          </w:p>
        </w:tc>
        <w:tc>
          <w:tcPr>
            <w:tcW w:w="3260" w:type="dxa"/>
          </w:tcPr>
          <w:p w14:paraId="394B8802">
            <w:pPr>
              <w:pStyle w:val="20"/>
            </w:pPr>
            <w:r>
              <w:rPr>
                <w:rFonts w:hint="eastAsia"/>
              </w:rPr>
              <w:t>中国石油广东石化分公司</w:t>
            </w:r>
          </w:p>
        </w:tc>
        <w:tc>
          <w:tcPr>
            <w:tcW w:w="2258" w:type="dxa"/>
          </w:tcPr>
          <w:p w14:paraId="21AD9A1B">
            <w:pPr>
              <w:pStyle w:val="20"/>
            </w:pPr>
            <w:r>
              <w:rPr>
                <w:rFonts w:hint="eastAsia"/>
              </w:rPr>
              <w:t>1</w:t>
            </w:r>
            <w:r>
              <w:t>20</w:t>
            </w:r>
          </w:p>
        </w:tc>
        <w:tc>
          <w:tcPr>
            <w:tcW w:w="2074" w:type="dxa"/>
          </w:tcPr>
          <w:p w14:paraId="1BFDCE6F">
            <w:pPr>
              <w:pStyle w:val="20"/>
            </w:pPr>
            <w:r>
              <w:rPr>
                <w:rFonts w:hint="eastAsia"/>
              </w:rPr>
              <w:t>石脑油裂解</w:t>
            </w:r>
          </w:p>
        </w:tc>
      </w:tr>
      <w:tr w14:paraId="050FD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56032DD">
            <w:pPr>
              <w:pStyle w:val="20"/>
            </w:pPr>
          </w:p>
        </w:tc>
        <w:tc>
          <w:tcPr>
            <w:tcW w:w="3260" w:type="dxa"/>
          </w:tcPr>
          <w:p w14:paraId="068C480B">
            <w:pPr>
              <w:pStyle w:val="20"/>
            </w:pPr>
            <w:r>
              <w:rPr>
                <w:rFonts w:hint="eastAsia"/>
              </w:rPr>
              <w:t>小计</w:t>
            </w:r>
          </w:p>
        </w:tc>
        <w:tc>
          <w:tcPr>
            <w:tcW w:w="2258" w:type="dxa"/>
          </w:tcPr>
          <w:p w14:paraId="4EB475EF">
            <w:pPr>
              <w:pStyle w:val="20"/>
            </w:pPr>
            <w:r>
              <w:rPr>
                <w:rFonts w:hint="eastAsia"/>
              </w:rPr>
              <w:t>2</w:t>
            </w:r>
            <w:r>
              <w:t>766</w:t>
            </w:r>
          </w:p>
        </w:tc>
        <w:tc>
          <w:tcPr>
            <w:tcW w:w="2074" w:type="dxa"/>
          </w:tcPr>
          <w:p w14:paraId="7C1D248B">
            <w:pPr>
              <w:pStyle w:val="20"/>
            </w:pPr>
          </w:p>
        </w:tc>
      </w:tr>
      <w:bookmarkEnd w:id="1"/>
    </w:tbl>
    <w:p w14:paraId="51FDDE5A">
      <w:pPr>
        <w:pStyle w:val="17"/>
        <w:ind w:firstLine="480"/>
      </w:pPr>
      <w:bookmarkStart w:id="2" w:name="_Hlk120513293"/>
    </w:p>
    <w:bookmarkEnd w:id="2"/>
    <w:p w14:paraId="1347FC2A">
      <w:pPr>
        <w:pStyle w:val="3"/>
        <w:spacing w:before="156" w:after="156"/>
      </w:pPr>
      <w:r>
        <w:rPr>
          <w:rFonts w:hint="eastAsia"/>
        </w:rPr>
        <w:t>乙烯工业碳排放现状</w:t>
      </w:r>
    </w:p>
    <w:p w14:paraId="6F8ABAB9">
      <w:pPr>
        <w:pStyle w:val="17"/>
        <w:ind w:firstLine="480"/>
      </w:pPr>
      <w:bookmarkStart w:id="3" w:name="_Hlk120528621"/>
      <w:r>
        <w:rPr>
          <w:rFonts w:hint="eastAsia"/>
        </w:rPr>
        <w:t>本次调研，共收集了</w:t>
      </w:r>
      <w:r>
        <w:t>30</w:t>
      </w:r>
      <w:r>
        <w:rPr>
          <w:rFonts w:hint="eastAsia"/>
        </w:rPr>
        <w:t>家乙烯生产企业的碳排放基础数据，蒸汽裂解制乙烯生产企业2</w:t>
      </w:r>
      <w:r>
        <w:t>7</w:t>
      </w:r>
      <w:r>
        <w:rPr>
          <w:rFonts w:hint="eastAsia"/>
        </w:rPr>
        <w:t>家。蒸汽裂解制乙烯样本企业的乙烯产能2</w:t>
      </w:r>
      <w:r>
        <w:t>690</w:t>
      </w:r>
      <w:r>
        <w:rPr>
          <w:rFonts w:hint="eastAsia"/>
        </w:rPr>
        <w:t>万吨/年，约占2</w:t>
      </w:r>
      <w:r>
        <w:t>023</w:t>
      </w:r>
      <w:r>
        <w:rPr>
          <w:rFonts w:hint="eastAsia"/>
        </w:rPr>
        <w:t>年全国蒸汽裂解制乙烯总产能的</w:t>
      </w:r>
      <w:r>
        <w:t>62.3%</w:t>
      </w:r>
      <w:r>
        <w:rPr>
          <w:rFonts w:hint="eastAsia"/>
        </w:rPr>
        <w:t>；</w:t>
      </w:r>
      <w:r>
        <w:t>100万吨/年及以上乙烯生产企业14</w:t>
      </w:r>
      <w:r>
        <w:rPr>
          <w:rFonts w:hint="eastAsia"/>
        </w:rPr>
        <w:t>家，约占</w:t>
      </w:r>
      <w:r>
        <w:t>100万吨/年及以上乙烯生产企业</w:t>
      </w:r>
      <w:r>
        <w:rPr>
          <w:rFonts w:hint="eastAsia"/>
        </w:rPr>
        <w:t>总数的</w:t>
      </w:r>
      <w:r>
        <w:t>77.8</w:t>
      </w:r>
      <w:r>
        <w:rPr>
          <w:rFonts w:hint="eastAsia"/>
        </w:rPr>
        <w:t>%。</w:t>
      </w:r>
    </w:p>
    <w:p w14:paraId="4BA18616">
      <w:pPr>
        <w:pStyle w:val="17"/>
        <w:ind w:firstLine="480"/>
      </w:pPr>
      <w:r>
        <w:rPr>
          <w:rFonts w:hint="eastAsia"/>
        </w:rPr>
        <w:t>本次调研结果基本可以反映我国蒸汽裂解乙烯行业碳排放现状，</w:t>
      </w:r>
      <w:r>
        <w:t>100万吨/年及以上乙烯生产</w:t>
      </w:r>
      <w:r>
        <w:rPr>
          <w:rFonts w:hint="eastAsia"/>
        </w:rPr>
        <w:t>的碳排放现状代表性较好。</w:t>
      </w:r>
    </w:p>
    <w:p w14:paraId="0EA1E7FE">
      <w:pPr>
        <w:pStyle w:val="17"/>
        <w:ind w:firstLine="480"/>
        <w:jc w:val="center"/>
      </w:pPr>
      <w:r>
        <w:rPr>
          <w:rFonts w:hint="eastAsia"/>
        </w:rPr>
        <w:t>表3</w:t>
      </w:r>
      <w:r>
        <w:t xml:space="preserve">.2-1    </w:t>
      </w:r>
      <w:r>
        <w:rPr>
          <w:rFonts w:hint="eastAsia"/>
        </w:rPr>
        <w:t>调研企业类型及产能情况</w:t>
      </w:r>
    </w:p>
    <w:tbl>
      <w:tblPr>
        <w:tblStyle w:val="12"/>
        <w:tblW w:w="8354" w:type="dxa"/>
        <w:tblInd w:w="0" w:type="dxa"/>
        <w:tblLayout w:type="autofit"/>
        <w:tblCellMar>
          <w:top w:w="0" w:type="dxa"/>
          <w:left w:w="108" w:type="dxa"/>
          <w:bottom w:w="0" w:type="dxa"/>
          <w:right w:w="108" w:type="dxa"/>
        </w:tblCellMar>
      </w:tblPr>
      <w:tblGrid>
        <w:gridCol w:w="1124"/>
        <w:gridCol w:w="1276"/>
        <w:gridCol w:w="1418"/>
        <w:gridCol w:w="850"/>
        <w:gridCol w:w="1418"/>
        <w:gridCol w:w="850"/>
        <w:gridCol w:w="1418"/>
      </w:tblGrid>
      <w:tr w14:paraId="40849ECF">
        <w:tblPrEx>
          <w:tblCellMar>
            <w:top w:w="0" w:type="dxa"/>
            <w:left w:w="108" w:type="dxa"/>
            <w:bottom w:w="0" w:type="dxa"/>
            <w:right w:w="108" w:type="dxa"/>
          </w:tblCellMar>
        </w:tblPrEx>
        <w:trPr>
          <w:trHeight w:val="280" w:hRule="atLeast"/>
        </w:trPr>
        <w:tc>
          <w:tcPr>
            <w:tcW w:w="1124"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tcPr>
          <w:p w14:paraId="744DA142">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企业</w:t>
            </w:r>
          </w:p>
        </w:tc>
        <w:tc>
          <w:tcPr>
            <w:tcW w:w="1276" w:type="dxa"/>
            <w:vMerge w:val="restart"/>
            <w:tcBorders>
              <w:top w:val="single" w:color="auto" w:sz="8" w:space="0"/>
              <w:left w:val="single" w:color="auto" w:sz="4" w:space="0"/>
              <w:bottom w:val="single" w:color="auto" w:sz="4" w:space="0"/>
              <w:right w:val="single" w:color="auto" w:sz="4" w:space="0"/>
            </w:tcBorders>
            <w:shd w:val="clear" w:color="auto" w:fill="auto"/>
            <w:noWrap/>
            <w:vAlign w:val="center"/>
          </w:tcPr>
          <w:p w14:paraId="613064B3">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调研企业总数/乙烯企业总数</w:t>
            </w:r>
          </w:p>
        </w:tc>
        <w:tc>
          <w:tcPr>
            <w:tcW w:w="1418"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14:paraId="55A1DE68">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调研装置数量/装置总数</w:t>
            </w:r>
          </w:p>
        </w:tc>
        <w:tc>
          <w:tcPr>
            <w:tcW w:w="3118" w:type="dxa"/>
            <w:gridSpan w:val="3"/>
            <w:tcBorders>
              <w:top w:val="single" w:color="auto" w:sz="8" w:space="0"/>
              <w:left w:val="nil"/>
              <w:bottom w:val="single" w:color="auto" w:sz="4" w:space="0"/>
              <w:right w:val="single" w:color="auto" w:sz="4" w:space="0"/>
            </w:tcBorders>
            <w:shd w:val="clear" w:color="auto" w:fill="auto"/>
            <w:noWrap/>
            <w:vAlign w:val="center"/>
          </w:tcPr>
          <w:p w14:paraId="18940D75">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调研单套装置产能分布,万吨/年</w:t>
            </w:r>
          </w:p>
        </w:tc>
        <w:tc>
          <w:tcPr>
            <w:tcW w:w="1418" w:type="dxa"/>
            <w:vMerge w:val="restart"/>
            <w:tcBorders>
              <w:top w:val="single" w:color="auto" w:sz="8" w:space="0"/>
              <w:left w:val="single" w:color="auto" w:sz="4" w:space="0"/>
              <w:bottom w:val="single" w:color="auto" w:sz="4" w:space="0"/>
              <w:right w:val="single" w:color="auto" w:sz="8" w:space="0"/>
            </w:tcBorders>
            <w:shd w:val="clear" w:color="auto" w:fill="auto"/>
            <w:vAlign w:val="center"/>
          </w:tcPr>
          <w:p w14:paraId="02D50099">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调研产能/总产能，万</w:t>
            </w:r>
            <w:r>
              <w:rPr>
                <w:rFonts w:ascii="Times New Roman" w:hAnsi="Times New Roman" w:eastAsia="宋体" w:cs="Times New Roman"/>
                <w:color w:val="000000"/>
                <w:kern w:val="0"/>
                <w:szCs w:val="21"/>
              </w:rPr>
              <w:t>吨/年</w:t>
            </w:r>
          </w:p>
        </w:tc>
      </w:tr>
      <w:tr w14:paraId="0B1D4D6D">
        <w:tblPrEx>
          <w:tblCellMar>
            <w:top w:w="0" w:type="dxa"/>
            <w:left w:w="108" w:type="dxa"/>
            <w:bottom w:w="0" w:type="dxa"/>
            <w:right w:w="108" w:type="dxa"/>
          </w:tblCellMar>
        </w:tblPrEx>
        <w:trPr>
          <w:trHeight w:val="260" w:hRule="atLeast"/>
        </w:trPr>
        <w:tc>
          <w:tcPr>
            <w:tcW w:w="1124" w:type="dxa"/>
            <w:vMerge w:val="continue"/>
            <w:tcBorders>
              <w:top w:val="single" w:color="auto" w:sz="8" w:space="0"/>
              <w:left w:val="single" w:color="auto" w:sz="8" w:space="0"/>
              <w:bottom w:val="single" w:color="auto" w:sz="4" w:space="0"/>
              <w:right w:val="single" w:color="auto" w:sz="4" w:space="0"/>
            </w:tcBorders>
            <w:vAlign w:val="center"/>
          </w:tcPr>
          <w:p w14:paraId="3ACD5201">
            <w:pPr>
              <w:widowControl/>
              <w:jc w:val="left"/>
              <w:rPr>
                <w:rFonts w:ascii="Times New Roman" w:hAnsi="Times New Roman" w:eastAsia="宋体" w:cs="Times New Roman"/>
                <w:color w:val="000000"/>
                <w:kern w:val="0"/>
                <w:szCs w:val="21"/>
              </w:rPr>
            </w:pPr>
          </w:p>
        </w:tc>
        <w:tc>
          <w:tcPr>
            <w:tcW w:w="1276" w:type="dxa"/>
            <w:vMerge w:val="continue"/>
            <w:tcBorders>
              <w:top w:val="single" w:color="auto" w:sz="8" w:space="0"/>
              <w:left w:val="single" w:color="auto" w:sz="4" w:space="0"/>
              <w:bottom w:val="single" w:color="auto" w:sz="4" w:space="0"/>
              <w:right w:val="single" w:color="auto" w:sz="4" w:space="0"/>
            </w:tcBorders>
            <w:vAlign w:val="center"/>
          </w:tcPr>
          <w:p w14:paraId="71CFC2EE">
            <w:pPr>
              <w:widowControl/>
              <w:jc w:val="left"/>
              <w:rPr>
                <w:rFonts w:ascii="Times New Roman" w:hAnsi="Times New Roman" w:eastAsia="宋体" w:cs="Times New Roman"/>
                <w:color w:val="000000"/>
                <w:kern w:val="0"/>
                <w:szCs w:val="21"/>
              </w:rPr>
            </w:pPr>
          </w:p>
        </w:tc>
        <w:tc>
          <w:tcPr>
            <w:tcW w:w="1418" w:type="dxa"/>
            <w:vMerge w:val="continue"/>
            <w:tcBorders>
              <w:top w:val="single" w:color="auto" w:sz="8" w:space="0"/>
              <w:left w:val="single" w:color="auto" w:sz="4" w:space="0"/>
              <w:bottom w:val="single" w:color="auto" w:sz="4" w:space="0"/>
              <w:right w:val="single" w:color="auto" w:sz="4" w:space="0"/>
            </w:tcBorders>
            <w:vAlign w:val="center"/>
          </w:tcPr>
          <w:p w14:paraId="0112143F">
            <w:pPr>
              <w:widowControl/>
              <w:jc w:val="left"/>
              <w:rPr>
                <w:rFonts w:ascii="Times New Roman" w:hAnsi="Times New Roman" w:eastAsia="宋体" w:cs="Times New Roman"/>
                <w:color w:val="000000"/>
                <w:kern w:val="0"/>
                <w:szCs w:val="21"/>
              </w:rPr>
            </w:pPr>
          </w:p>
        </w:tc>
        <w:tc>
          <w:tcPr>
            <w:tcW w:w="850" w:type="dxa"/>
            <w:tcBorders>
              <w:top w:val="nil"/>
              <w:left w:val="nil"/>
              <w:bottom w:val="single" w:color="auto" w:sz="4" w:space="0"/>
              <w:right w:val="single" w:color="auto" w:sz="4" w:space="0"/>
            </w:tcBorders>
            <w:shd w:val="clear" w:color="auto" w:fill="auto"/>
            <w:noWrap/>
            <w:vAlign w:val="center"/>
          </w:tcPr>
          <w:p w14:paraId="4A762B1B">
            <w:pPr>
              <w:widowControl/>
              <w:jc w:val="center"/>
              <w:rPr>
                <w:rFonts w:ascii="Times New Roman" w:hAnsi="Times New Roman" w:eastAsia="宋体" w:cs="Times New Roman"/>
                <w:color w:val="000000"/>
                <w:kern w:val="0"/>
                <w:szCs w:val="21"/>
              </w:rPr>
            </w:pPr>
            <w:r>
              <w:rPr>
                <w:rFonts w:hint="eastAsia" w:ascii="宋体" w:hAnsi="宋体" w:eastAsia="宋体" w:cs="Times New Roman"/>
                <w:color w:val="000000"/>
                <w:kern w:val="0"/>
                <w:szCs w:val="21"/>
              </w:rPr>
              <w:t>≤</w:t>
            </w:r>
            <w:r>
              <w:rPr>
                <w:rFonts w:ascii="Times New Roman" w:hAnsi="Times New Roman" w:eastAsia="宋体" w:cs="Times New Roman"/>
                <w:color w:val="000000"/>
                <w:kern w:val="0"/>
                <w:szCs w:val="21"/>
              </w:rPr>
              <w:t>30</w:t>
            </w:r>
          </w:p>
        </w:tc>
        <w:tc>
          <w:tcPr>
            <w:tcW w:w="1418" w:type="dxa"/>
            <w:tcBorders>
              <w:top w:val="nil"/>
              <w:left w:val="nil"/>
              <w:bottom w:val="single" w:color="auto" w:sz="4" w:space="0"/>
              <w:right w:val="single" w:color="auto" w:sz="4" w:space="0"/>
            </w:tcBorders>
            <w:shd w:val="clear" w:color="auto" w:fill="auto"/>
            <w:noWrap/>
            <w:vAlign w:val="center"/>
          </w:tcPr>
          <w:p w14:paraId="32609462">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30</w:t>
            </w:r>
            <w:r>
              <w:rPr>
                <w:rFonts w:hint="eastAsia" w:ascii="Times New Roman" w:hAnsi="Times New Roman" w:eastAsia="宋体" w:cs="Times New Roman"/>
                <w:color w:val="000000"/>
                <w:kern w:val="0"/>
                <w:szCs w:val="21"/>
              </w:rPr>
              <w:t>&lt;产能&lt;</w:t>
            </w:r>
            <w:r>
              <w:rPr>
                <w:rFonts w:ascii="Times New Roman" w:hAnsi="Times New Roman" w:eastAsia="宋体" w:cs="Times New Roman"/>
                <w:color w:val="000000"/>
                <w:kern w:val="0"/>
                <w:szCs w:val="21"/>
              </w:rPr>
              <w:t>100</w:t>
            </w:r>
          </w:p>
        </w:tc>
        <w:tc>
          <w:tcPr>
            <w:tcW w:w="850" w:type="dxa"/>
            <w:tcBorders>
              <w:top w:val="nil"/>
              <w:left w:val="nil"/>
              <w:bottom w:val="single" w:color="auto" w:sz="4" w:space="0"/>
              <w:right w:val="single" w:color="auto" w:sz="4" w:space="0"/>
            </w:tcBorders>
            <w:shd w:val="clear" w:color="auto" w:fill="auto"/>
            <w:noWrap/>
            <w:vAlign w:val="center"/>
          </w:tcPr>
          <w:p w14:paraId="3E294AD2">
            <w:pPr>
              <w:widowControl/>
              <w:jc w:val="center"/>
              <w:rPr>
                <w:rFonts w:ascii="Times New Roman" w:hAnsi="Times New Roman" w:eastAsia="宋体" w:cs="Times New Roman"/>
                <w:color w:val="000000"/>
                <w:kern w:val="0"/>
                <w:szCs w:val="21"/>
              </w:rPr>
            </w:pPr>
            <w:r>
              <w:rPr>
                <w:rFonts w:hint="eastAsia" w:ascii="宋体" w:hAnsi="宋体" w:eastAsia="宋体" w:cs="Times New Roman"/>
                <w:color w:val="000000"/>
                <w:kern w:val="0"/>
                <w:szCs w:val="21"/>
              </w:rPr>
              <w:t>≥</w:t>
            </w:r>
            <w:r>
              <w:rPr>
                <w:rFonts w:hint="eastAsia" w:ascii="Times New Roman" w:hAnsi="Times New Roman" w:eastAsia="宋体" w:cs="Times New Roman"/>
                <w:color w:val="000000"/>
                <w:kern w:val="0"/>
                <w:szCs w:val="21"/>
              </w:rPr>
              <w:t>1</w:t>
            </w:r>
            <w:r>
              <w:rPr>
                <w:rFonts w:ascii="Times New Roman" w:hAnsi="Times New Roman" w:eastAsia="宋体" w:cs="Times New Roman"/>
                <w:color w:val="000000"/>
                <w:kern w:val="0"/>
                <w:szCs w:val="21"/>
              </w:rPr>
              <w:t>00</w:t>
            </w:r>
          </w:p>
        </w:tc>
        <w:tc>
          <w:tcPr>
            <w:tcW w:w="1418" w:type="dxa"/>
            <w:vMerge w:val="continue"/>
            <w:tcBorders>
              <w:top w:val="single" w:color="auto" w:sz="8" w:space="0"/>
              <w:left w:val="single" w:color="auto" w:sz="4" w:space="0"/>
              <w:bottom w:val="single" w:color="auto" w:sz="4" w:space="0"/>
              <w:right w:val="single" w:color="auto" w:sz="8" w:space="0"/>
            </w:tcBorders>
            <w:vAlign w:val="center"/>
          </w:tcPr>
          <w:p w14:paraId="51281E40">
            <w:pPr>
              <w:widowControl/>
              <w:jc w:val="left"/>
              <w:rPr>
                <w:rFonts w:ascii="Times New Roman" w:hAnsi="Times New Roman" w:eastAsia="宋体" w:cs="Times New Roman"/>
                <w:color w:val="000000"/>
                <w:kern w:val="0"/>
                <w:szCs w:val="21"/>
              </w:rPr>
            </w:pPr>
          </w:p>
        </w:tc>
      </w:tr>
      <w:tr w14:paraId="38D24837">
        <w:tblPrEx>
          <w:tblCellMar>
            <w:top w:w="0" w:type="dxa"/>
            <w:left w:w="108" w:type="dxa"/>
            <w:bottom w:w="0" w:type="dxa"/>
            <w:right w:w="108" w:type="dxa"/>
          </w:tblCellMar>
        </w:tblPrEx>
        <w:trPr>
          <w:trHeight w:val="260" w:hRule="atLeast"/>
        </w:trPr>
        <w:tc>
          <w:tcPr>
            <w:tcW w:w="1124" w:type="dxa"/>
            <w:tcBorders>
              <w:top w:val="nil"/>
              <w:left w:val="single" w:color="auto" w:sz="8" w:space="0"/>
              <w:bottom w:val="single" w:color="auto" w:sz="4" w:space="0"/>
              <w:right w:val="single" w:color="auto" w:sz="4" w:space="0"/>
            </w:tcBorders>
            <w:shd w:val="clear" w:color="auto" w:fill="auto"/>
            <w:noWrap/>
            <w:vAlign w:val="center"/>
          </w:tcPr>
          <w:p w14:paraId="7E300FB5">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中石油</w:t>
            </w:r>
          </w:p>
        </w:tc>
        <w:tc>
          <w:tcPr>
            <w:tcW w:w="1276" w:type="dxa"/>
            <w:tcBorders>
              <w:top w:val="nil"/>
              <w:left w:val="nil"/>
              <w:bottom w:val="single" w:color="auto" w:sz="4" w:space="0"/>
              <w:right w:val="single" w:color="auto" w:sz="4" w:space="0"/>
            </w:tcBorders>
            <w:shd w:val="clear" w:color="auto" w:fill="auto"/>
            <w:noWrap/>
            <w:vAlign w:val="center"/>
          </w:tcPr>
          <w:p w14:paraId="14D78D0A">
            <w:pPr>
              <w:widowControl/>
              <w:jc w:val="center"/>
              <w:rPr>
                <w:rFonts w:ascii="Times New Roman" w:hAnsi="Times New Roman" w:eastAsia="宋体" w:cs="Times New Roman"/>
                <w:color w:val="000000"/>
                <w:kern w:val="0"/>
                <w:szCs w:val="21"/>
                <w:highlight w:val="yellow"/>
              </w:rPr>
            </w:pPr>
            <w:r>
              <w:rPr>
                <w:rFonts w:ascii="Times New Roman" w:hAnsi="Times New Roman" w:eastAsia="宋体" w:cs="Times New Roman"/>
                <w:color w:val="000000"/>
                <w:kern w:val="0"/>
                <w:szCs w:val="21"/>
              </w:rPr>
              <w:t>9/10</w:t>
            </w:r>
          </w:p>
        </w:tc>
        <w:tc>
          <w:tcPr>
            <w:tcW w:w="1418" w:type="dxa"/>
            <w:tcBorders>
              <w:top w:val="nil"/>
              <w:left w:val="nil"/>
              <w:bottom w:val="single" w:color="auto" w:sz="4" w:space="0"/>
              <w:right w:val="single" w:color="auto" w:sz="4" w:space="0"/>
            </w:tcBorders>
            <w:shd w:val="clear" w:color="auto" w:fill="auto"/>
            <w:vAlign w:val="center"/>
          </w:tcPr>
          <w:p w14:paraId="496E8C51">
            <w:pPr>
              <w:jc w:val="center"/>
              <w:rPr>
                <w:rFonts w:ascii="Times New Roman" w:hAnsi="Times New Roman" w:eastAsia="宋体" w:cs="Times New Roman"/>
                <w:color w:val="000000"/>
                <w:kern w:val="0"/>
                <w:szCs w:val="21"/>
                <w:highlight w:val="yellow"/>
              </w:rPr>
            </w:pPr>
            <w:r>
              <w:rPr>
                <w:rFonts w:ascii="Times New Roman" w:hAnsi="Times New Roman" w:eastAsia="宋体" w:cs="Times New Roman"/>
                <w:color w:val="000000"/>
                <w:kern w:val="0"/>
                <w:szCs w:val="21"/>
              </w:rPr>
              <w:t>14/15</w:t>
            </w:r>
          </w:p>
        </w:tc>
        <w:tc>
          <w:tcPr>
            <w:tcW w:w="850" w:type="dxa"/>
            <w:tcBorders>
              <w:top w:val="nil"/>
              <w:left w:val="nil"/>
              <w:bottom w:val="single" w:color="auto" w:sz="4" w:space="0"/>
              <w:right w:val="single" w:color="auto" w:sz="4" w:space="0"/>
            </w:tcBorders>
            <w:shd w:val="clear" w:color="auto" w:fill="auto"/>
            <w:noWrap/>
            <w:vAlign w:val="center"/>
          </w:tcPr>
          <w:p w14:paraId="2C4A7CE5">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5</w:t>
            </w:r>
          </w:p>
        </w:tc>
        <w:tc>
          <w:tcPr>
            <w:tcW w:w="1418" w:type="dxa"/>
            <w:tcBorders>
              <w:top w:val="nil"/>
              <w:left w:val="nil"/>
              <w:bottom w:val="single" w:color="auto" w:sz="4" w:space="0"/>
              <w:right w:val="single" w:color="auto" w:sz="4" w:space="0"/>
            </w:tcBorders>
            <w:shd w:val="clear" w:color="auto" w:fill="auto"/>
            <w:noWrap/>
            <w:vAlign w:val="center"/>
          </w:tcPr>
          <w:p w14:paraId="40A622E0">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7</w:t>
            </w:r>
          </w:p>
        </w:tc>
        <w:tc>
          <w:tcPr>
            <w:tcW w:w="850" w:type="dxa"/>
            <w:tcBorders>
              <w:top w:val="nil"/>
              <w:left w:val="nil"/>
              <w:bottom w:val="single" w:color="auto" w:sz="4" w:space="0"/>
              <w:right w:val="single" w:color="auto" w:sz="4" w:space="0"/>
            </w:tcBorders>
            <w:shd w:val="clear" w:color="auto" w:fill="auto"/>
            <w:noWrap/>
            <w:vAlign w:val="center"/>
          </w:tcPr>
          <w:p w14:paraId="4094C25E">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nil"/>
              <w:left w:val="nil"/>
              <w:bottom w:val="single" w:color="auto" w:sz="4" w:space="0"/>
              <w:right w:val="single" w:color="auto" w:sz="8" w:space="0"/>
            </w:tcBorders>
            <w:shd w:val="clear" w:color="auto" w:fill="auto"/>
            <w:noWrap/>
            <w:vAlign w:val="center"/>
          </w:tcPr>
          <w:p w14:paraId="25F16592">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716</w:t>
            </w:r>
            <w:r>
              <w:rPr>
                <w:rFonts w:hint="eastAsia" w:ascii="Times New Roman" w:hAnsi="Times New Roman" w:eastAsia="宋体" w:cs="Times New Roman"/>
                <w:color w:val="000000"/>
                <w:kern w:val="0"/>
                <w:szCs w:val="21"/>
              </w:rPr>
              <w:t>/8</w:t>
            </w:r>
            <w:r>
              <w:rPr>
                <w:rFonts w:ascii="Times New Roman" w:hAnsi="Times New Roman" w:eastAsia="宋体" w:cs="Times New Roman"/>
                <w:color w:val="000000"/>
                <w:kern w:val="0"/>
                <w:szCs w:val="21"/>
              </w:rPr>
              <w:t>66</w:t>
            </w:r>
          </w:p>
        </w:tc>
      </w:tr>
      <w:tr w14:paraId="6178C5D5">
        <w:tblPrEx>
          <w:tblCellMar>
            <w:top w:w="0" w:type="dxa"/>
            <w:left w:w="108" w:type="dxa"/>
            <w:bottom w:w="0" w:type="dxa"/>
            <w:right w:w="108" w:type="dxa"/>
          </w:tblCellMar>
        </w:tblPrEx>
        <w:trPr>
          <w:trHeight w:val="260" w:hRule="atLeast"/>
        </w:trPr>
        <w:tc>
          <w:tcPr>
            <w:tcW w:w="1124" w:type="dxa"/>
            <w:tcBorders>
              <w:top w:val="nil"/>
              <w:left w:val="single" w:color="auto" w:sz="8" w:space="0"/>
              <w:bottom w:val="single" w:color="auto" w:sz="4" w:space="0"/>
              <w:right w:val="single" w:color="auto" w:sz="4" w:space="0"/>
            </w:tcBorders>
            <w:shd w:val="clear" w:color="auto" w:fill="auto"/>
            <w:noWrap/>
            <w:vAlign w:val="center"/>
          </w:tcPr>
          <w:p w14:paraId="762925F7">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中石化</w:t>
            </w:r>
          </w:p>
        </w:tc>
        <w:tc>
          <w:tcPr>
            <w:tcW w:w="1276" w:type="dxa"/>
            <w:tcBorders>
              <w:top w:val="nil"/>
              <w:left w:val="nil"/>
              <w:bottom w:val="single" w:color="auto" w:sz="4" w:space="0"/>
              <w:right w:val="single" w:color="auto" w:sz="4" w:space="0"/>
            </w:tcBorders>
            <w:shd w:val="clear" w:color="auto" w:fill="auto"/>
            <w:noWrap/>
            <w:vAlign w:val="center"/>
          </w:tcPr>
          <w:p w14:paraId="23A27995">
            <w:pPr>
              <w:widowControl/>
              <w:jc w:val="center"/>
              <w:rPr>
                <w:rFonts w:ascii="Times New Roman" w:hAnsi="Times New Roman" w:eastAsia="宋体" w:cs="Times New Roman"/>
                <w:color w:val="000000"/>
                <w:kern w:val="0"/>
                <w:szCs w:val="21"/>
                <w:highlight w:val="yellow"/>
              </w:rPr>
            </w:pPr>
            <w:r>
              <w:rPr>
                <w:rFonts w:hint="eastAsia" w:ascii="Times New Roman" w:hAnsi="Times New Roman" w:eastAsia="宋体" w:cs="Times New Roman"/>
                <w:color w:val="000000"/>
                <w:kern w:val="0"/>
                <w:szCs w:val="21"/>
              </w:rPr>
              <w:t>1</w:t>
            </w:r>
            <w:r>
              <w:rPr>
                <w:rFonts w:ascii="Times New Roman" w:hAnsi="Times New Roman" w:eastAsia="宋体" w:cs="Times New Roman"/>
                <w:color w:val="000000"/>
                <w:kern w:val="0"/>
                <w:szCs w:val="21"/>
              </w:rPr>
              <w:t>2/19</w:t>
            </w:r>
          </w:p>
        </w:tc>
        <w:tc>
          <w:tcPr>
            <w:tcW w:w="1418" w:type="dxa"/>
            <w:tcBorders>
              <w:top w:val="nil"/>
              <w:left w:val="nil"/>
              <w:bottom w:val="single" w:color="auto" w:sz="4" w:space="0"/>
              <w:right w:val="single" w:color="auto" w:sz="4" w:space="0"/>
            </w:tcBorders>
            <w:shd w:val="clear" w:color="auto" w:fill="auto"/>
            <w:vAlign w:val="center"/>
          </w:tcPr>
          <w:p w14:paraId="2BAFA2E2">
            <w:pPr>
              <w:jc w:val="center"/>
              <w:rPr>
                <w:rFonts w:ascii="Times New Roman" w:hAnsi="Times New Roman" w:eastAsia="宋体" w:cs="Times New Roman"/>
                <w:color w:val="000000"/>
                <w:kern w:val="0"/>
                <w:szCs w:val="21"/>
                <w:highlight w:val="yellow"/>
              </w:rPr>
            </w:pPr>
            <w:r>
              <w:rPr>
                <w:rFonts w:ascii="Times New Roman" w:hAnsi="Times New Roman" w:eastAsia="宋体" w:cs="Times New Roman"/>
                <w:color w:val="000000"/>
                <w:kern w:val="0"/>
                <w:szCs w:val="21"/>
              </w:rPr>
              <w:t>12/22</w:t>
            </w:r>
          </w:p>
        </w:tc>
        <w:tc>
          <w:tcPr>
            <w:tcW w:w="850" w:type="dxa"/>
            <w:tcBorders>
              <w:top w:val="nil"/>
              <w:left w:val="nil"/>
              <w:bottom w:val="single" w:color="auto" w:sz="4" w:space="0"/>
              <w:right w:val="single" w:color="auto" w:sz="4" w:space="0"/>
            </w:tcBorders>
            <w:shd w:val="clear" w:color="auto" w:fill="auto"/>
            <w:noWrap/>
            <w:vAlign w:val="center"/>
          </w:tcPr>
          <w:p w14:paraId="2B1EFE8E">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p>
        </w:tc>
        <w:tc>
          <w:tcPr>
            <w:tcW w:w="1418" w:type="dxa"/>
            <w:tcBorders>
              <w:top w:val="nil"/>
              <w:left w:val="nil"/>
              <w:bottom w:val="single" w:color="auto" w:sz="4" w:space="0"/>
              <w:right w:val="single" w:color="auto" w:sz="4" w:space="0"/>
            </w:tcBorders>
            <w:shd w:val="clear" w:color="auto" w:fill="auto"/>
            <w:noWrap/>
            <w:vAlign w:val="center"/>
          </w:tcPr>
          <w:p w14:paraId="5F18549E">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w:t>
            </w:r>
          </w:p>
        </w:tc>
        <w:tc>
          <w:tcPr>
            <w:tcW w:w="850" w:type="dxa"/>
            <w:tcBorders>
              <w:top w:val="nil"/>
              <w:left w:val="nil"/>
              <w:bottom w:val="single" w:color="auto" w:sz="4" w:space="0"/>
              <w:right w:val="single" w:color="auto" w:sz="4" w:space="0"/>
            </w:tcBorders>
            <w:shd w:val="clear" w:color="auto" w:fill="auto"/>
            <w:noWrap/>
            <w:vAlign w:val="center"/>
          </w:tcPr>
          <w:p w14:paraId="437312BB">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w:t>
            </w:r>
          </w:p>
        </w:tc>
        <w:tc>
          <w:tcPr>
            <w:tcW w:w="1418" w:type="dxa"/>
            <w:tcBorders>
              <w:top w:val="nil"/>
              <w:left w:val="nil"/>
              <w:bottom w:val="single" w:color="auto" w:sz="4" w:space="0"/>
              <w:right w:val="single" w:color="auto" w:sz="8" w:space="0"/>
            </w:tcBorders>
            <w:shd w:val="clear" w:color="auto" w:fill="auto"/>
            <w:noWrap/>
            <w:vAlign w:val="center"/>
          </w:tcPr>
          <w:p w14:paraId="30A267E7">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964</w:t>
            </w:r>
            <w:r>
              <w:rPr>
                <w:rFonts w:hint="eastAsia" w:ascii="Times New Roman" w:hAnsi="Times New Roman" w:eastAsia="宋体" w:cs="Times New Roman"/>
                <w:color w:val="000000"/>
                <w:kern w:val="0"/>
                <w:szCs w:val="21"/>
              </w:rPr>
              <w:t>/1</w:t>
            </w:r>
            <w:r>
              <w:rPr>
                <w:rFonts w:ascii="Times New Roman" w:hAnsi="Times New Roman" w:eastAsia="宋体" w:cs="Times New Roman"/>
                <w:color w:val="000000"/>
                <w:kern w:val="0"/>
                <w:szCs w:val="21"/>
              </w:rPr>
              <w:t>608</w:t>
            </w:r>
          </w:p>
        </w:tc>
      </w:tr>
      <w:tr w14:paraId="72D2C05E">
        <w:tblPrEx>
          <w:tblCellMar>
            <w:top w:w="0" w:type="dxa"/>
            <w:left w:w="108" w:type="dxa"/>
            <w:bottom w:w="0" w:type="dxa"/>
            <w:right w:w="108" w:type="dxa"/>
          </w:tblCellMar>
        </w:tblPrEx>
        <w:trPr>
          <w:trHeight w:val="260" w:hRule="atLeast"/>
        </w:trPr>
        <w:tc>
          <w:tcPr>
            <w:tcW w:w="1124" w:type="dxa"/>
            <w:tcBorders>
              <w:top w:val="nil"/>
              <w:left w:val="single" w:color="auto" w:sz="8" w:space="0"/>
              <w:bottom w:val="single" w:color="auto" w:sz="4" w:space="0"/>
              <w:right w:val="single" w:color="auto" w:sz="4" w:space="0"/>
            </w:tcBorders>
            <w:shd w:val="clear" w:color="auto" w:fill="auto"/>
            <w:noWrap/>
            <w:vAlign w:val="center"/>
          </w:tcPr>
          <w:p w14:paraId="714A7011">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中海油</w:t>
            </w:r>
          </w:p>
        </w:tc>
        <w:tc>
          <w:tcPr>
            <w:tcW w:w="1276" w:type="dxa"/>
            <w:tcBorders>
              <w:top w:val="nil"/>
              <w:left w:val="nil"/>
              <w:bottom w:val="single" w:color="auto" w:sz="4" w:space="0"/>
              <w:right w:val="single" w:color="auto" w:sz="4" w:space="0"/>
            </w:tcBorders>
            <w:shd w:val="clear" w:color="auto" w:fill="auto"/>
            <w:noWrap/>
            <w:vAlign w:val="center"/>
          </w:tcPr>
          <w:p w14:paraId="4FBA2766">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r>
              <w:rPr>
                <w:rFonts w:ascii="Times New Roman" w:hAnsi="Times New Roman" w:eastAsia="宋体" w:cs="Times New Roman"/>
                <w:color w:val="000000"/>
                <w:kern w:val="0"/>
                <w:szCs w:val="21"/>
              </w:rPr>
              <w:t>/1</w:t>
            </w:r>
          </w:p>
        </w:tc>
        <w:tc>
          <w:tcPr>
            <w:tcW w:w="1418" w:type="dxa"/>
            <w:tcBorders>
              <w:top w:val="nil"/>
              <w:left w:val="nil"/>
              <w:bottom w:val="single" w:color="auto" w:sz="4" w:space="0"/>
              <w:right w:val="single" w:color="auto" w:sz="4" w:space="0"/>
            </w:tcBorders>
            <w:shd w:val="clear" w:color="auto" w:fill="auto"/>
            <w:vAlign w:val="center"/>
          </w:tcPr>
          <w:p w14:paraId="510CF20B">
            <w:pPr>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2/2</w:t>
            </w:r>
          </w:p>
        </w:tc>
        <w:tc>
          <w:tcPr>
            <w:tcW w:w="850" w:type="dxa"/>
            <w:tcBorders>
              <w:top w:val="nil"/>
              <w:left w:val="nil"/>
              <w:bottom w:val="single" w:color="auto" w:sz="4" w:space="0"/>
              <w:right w:val="single" w:color="auto" w:sz="4" w:space="0"/>
            </w:tcBorders>
            <w:shd w:val="clear" w:color="auto" w:fill="auto"/>
            <w:noWrap/>
            <w:vAlign w:val="center"/>
          </w:tcPr>
          <w:p w14:paraId="33864B33">
            <w:pPr>
              <w:widowControl/>
              <w:jc w:val="center"/>
              <w:rPr>
                <w:rFonts w:ascii="Times New Roman" w:hAnsi="Times New Roman" w:eastAsia="宋体" w:cs="Times New Roman"/>
                <w:color w:val="000000"/>
                <w:kern w:val="0"/>
                <w:szCs w:val="21"/>
              </w:rPr>
            </w:pPr>
          </w:p>
        </w:tc>
        <w:tc>
          <w:tcPr>
            <w:tcW w:w="1418" w:type="dxa"/>
            <w:tcBorders>
              <w:top w:val="nil"/>
              <w:left w:val="nil"/>
              <w:bottom w:val="single" w:color="auto" w:sz="4" w:space="0"/>
              <w:right w:val="single" w:color="auto" w:sz="4" w:space="0"/>
            </w:tcBorders>
            <w:shd w:val="clear" w:color="auto" w:fill="auto"/>
            <w:noWrap/>
            <w:vAlign w:val="center"/>
          </w:tcPr>
          <w:p w14:paraId="41FFA085">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850" w:type="dxa"/>
            <w:tcBorders>
              <w:top w:val="nil"/>
              <w:left w:val="nil"/>
              <w:bottom w:val="single" w:color="auto" w:sz="4" w:space="0"/>
              <w:right w:val="single" w:color="auto" w:sz="4" w:space="0"/>
            </w:tcBorders>
            <w:shd w:val="clear" w:color="auto" w:fill="auto"/>
            <w:noWrap/>
            <w:vAlign w:val="center"/>
          </w:tcPr>
          <w:p w14:paraId="06BDE29D">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1418" w:type="dxa"/>
            <w:tcBorders>
              <w:top w:val="nil"/>
              <w:left w:val="nil"/>
              <w:bottom w:val="single" w:color="auto" w:sz="4" w:space="0"/>
              <w:right w:val="single" w:color="auto" w:sz="8" w:space="0"/>
            </w:tcBorders>
            <w:shd w:val="clear" w:color="auto" w:fill="auto"/>
            <w:noWrap/>
            <w:vAlign w:val="center"/>
          </w:tcPr>
          <w:p w14:paraId="3DAB61C6">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r>
              <w:rPr>
                <w:rFonts w:ascii="Times New Roman" w:hAnsi="Times New Roman" w:eastAsia="宋体" w:cs="Times New Roman"/>
                <w:color w:val="000000"/>
                <w:kern w:val="0"/>
                <w:szCs w:val="21"/>
              </w:rPr>
              <w:t>15</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215</w:t>
            </w:r>
          </w:p>
        </w:tc>
      </w:tr>
      <w:tr w14:paraId="6A23E853">
        <w:tblPrEx>
          <w:tblCellMar>
            <w:top w:w="0" w:type="dxa"/>
            <w:left w:w="108" w:type="dxa"/>
            <w:bottom w:w="0" w:type="dxa"/>
            <w:right w:w="108" w:type="dxa"/>
          </w:tblCellMar>
        </w:tblPrEx>
        <w:trPr>
          <w:trHeight w:val="260" w:hRule="atLeast"/>
        </w:trPr>
        <w:tc>
          <w:tcPr>
            <w:tcW w:w="1124" w:type="dxa"/>
            <w:tcBorders>
              <w:top w:val="nil"/>
              <w:left w:val="single" w:color="auto" w:sz="8" w:space="0"/>
              <w:bottom w:val="single" w:color="auto" w:sz="4" w:space="0"/>
              <w:right w:val="single" w:color="auto" w:sz="4" w:space="0"/>
            </w:tcBorders>
            <w:shd w:val="clear" w:color="auto" w:fill="auto"/>
            <w:noWrap/>
            <w:vAlign w:val="center"/>
          </w:tcPr>
          <w:p w14:paraId="0238EFD7">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民企</w:t>
            </w:r>
          </w:p>
        </w:tc>
        <w:tc>
          <w:tcPr>
            <w:tcW w:w="1276" w:type="dxa"/>
            <w:tcBorders>
              <w:top w:val="nil"/>
              <w:left w:val="nil"/>
              <w:bottom w:val="single" w:color="auto" w:sz="4" w:space="0"/>
              <w:right w:val="single" w:color="auto" w:sz="4" w:space="0"/>
            </w:tcBorders>
            <w:shd w:val="clear" w:color="auto" w:fill="auto"/>
            <w:noWrap/>
            <w:vAlign w:val="center"/>
          </w:tcPr>
          <w:p w14:paraId="5D55B763">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6/29</w:t>
            </w:r>
          </w:p>
        </w:tc>
        <w:tc>
          <w:tcPr>
            <w:tcW w:w="1418" w:type="dxa"/>
            <w:tcBorders>
              <w:top w:val="nil"/>
              <w:left w:val="nil"/>
              <w:bottom w:val="single" w:color="auto" w:sz="4" w:space="0"/>
              <w:right w:val="single" w:color="auto" w:sz="4" w:space="0"/>
            </w:tcBorders>
            <w:shd w:val="clear" w:color="auto" w:fill="auto"/>
            <w:vAlign w:val="center"/>
          </w:tcPr>
          <w:p w14:paraId="41727427">
            <w:pPr>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7/35</w:t>
            </w:r>
          </w:p>
        </w:tc>
        <w:tc>
          <w:tcPr>
            <w:tcW w:w="850" w:type="dxa"/>
            <w:tcBorders>
              <w:top w:val="nil"/>
              <w:left w:val="nil"/>
              <w:bottom w:val="single" w:color="auto" w:sz="4" w:space="0"/>
              <w:right w:val="single" w:color="auto" w:sz="4" w:space="0"/>
            </w:tcBorders>
            <w:shd w:val="clear" w:color="auto" w:fill="auto"/>
            <w:noWrap/>
            <w:vAlign w:val="center"/>
          </w:tcPr>
          <w:p w14:paraId="3C693838">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1418" w:type="dxa"/>
            <w:tcBorders>
              <w:top w:val="nil"/>
              <w:left w:val="nil"/>
              <w:bottom w:val="single" w:color="auto" w:sz="4" w:space="0"/>
              <w:right w:val="single" w:color="auto" w:sz="4" w:space="0"/>
            </w:tcBorders>
            <w:shd w:val="clear" w:color="auto" w:fill="auto"/>
            <w:noWrap/>
            <w:vAlign w:val="center"/>
          </w:tcPr>
          <w:p w14:paraId="2B9E925D">
            <w:pPr>
              <w:widowControl/>
              <w:jc w:val="center"/>
              <w:rPr>
                <w:rFonts w:ascii="Times New Roman" w:hAnsi="Times New Roman" w:eastAsia="宋体" w:cs="Times New Roman"/>
                <w:color w:val="000000"/>
                <w:kern w:val="0"/>
                <w:szCs w:val="21"/>
              </w:rPr>
            </w:pPr>
          </w:p>
        </w:tc>
        <w:tc>
          <w:tcPr>
            <w:tcW w:w="850" w:type="dxa"/>
            <w:tcBorders>
              <w:top w:val="nil"/>
              <w:left w:val="nil"/>
              <w:bottom w:val="single" w:color="auto" w:sz="4" w:space="0"/>
              <w:right w:val="single" w:color="auto" w:sz="4" w:space="0"/>
            </w:tcBorders>
            <w:shd w:val="clear" w:color="auto" w:fill="auto"/>
            <w:noWrap/>
            <w:vAlign w:val="center"/>
          </w:tcPr>
          <w:p w14:paraId="7D61C157">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w:t>
            </w:r>
          </w:p>
        </w:tc>
        <w:tc>
          <w:tcPr>
            <w:tcW w:w="1418" w:type="dxa"/>
            <w:tcBorders>
              <w:top w:val="nil"/>
              <w:left w:val="nil"/>
              <w:bottom w:val="single" w:color="auto" w:sz="4" w:space="0"/>
              <w:right w:val="single" w:color="auto" w:sz="8" w:space="0"/>
            </w:tcBorders>
            <w:shd w:val="clear" w:color="auto" w:fill="auto"/>
            <w:noWrap/>
            <w:vAlign w:val="center"/>
          </w:tcPr>
          <w:p w14:paraId="2A43125B">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816</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2152</w:t>
            </w:r>
          </w:p>
        </w:tc>
      </w:tr>
      <w:tr w14:paraId="17DD5C8C">
        <w:tblPrEx>
          <w:tblCellMar>
            <w:top w:w="0" w:type="dxa"/>
            <w:left w:w="108" w:type="dxa"/>
            <w:bottom w:w="0" w:type="dxa"/>
            <w:right w:w="108" w:type="dxa"/>
          </w:tblCellMar>
        </w:tblPrEx>
        <w:trPr>
          <w:trHeight w:val="260" w:hRule="atLeast"/>
        </w:trPr>
        <w:tc>
          <w:tcPr>
            <w:tcW w:w="1124" w:type="dxa"/>
            <w:tcBorders>
              <w:top w:val="nil"/>
              <w:left w:val="single" w:color="auto" w:sz="8" w:space="0"/>
              <w:bottom w:val="single" w:color="auto" w:sz="4" w:space="0"/>
              <w:right w:val="single" w:color="auto" w:sz="4" w:space="0"/>
            </w:tcBorders>
            <w:shd w:val="clear" w:color="auto" w:fill="auto"/>
            <w:noWrap/>
            <w:vAlign w:val="center"/>
          </w:tcPr>
          <w:p w14:paraId="269D7818">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其它国企</w:t>
            </w:r>
          </w:p>
        </w:tc>
        <w:tc>
          <w:tcPr>
            <w:tcW w:w="1276" w:type="dxa"/>
            <w:tcBorders>
              <w:top w:val="nil"/>
              <w:left w:val="nil"/>
              <w:bottom w:val="single" w:color="auto" w:sz="4" w:space="0"/>
              <w:right w:val="single" w:color="auto" w:sz="4" w:space="0"/>
            </w:tcBorders>
            <w:shd w:val="clear" w:color="auto" w:fill="auto"/>
            <w:noWrap/>
            <w:vAlign w:val="center"/>
          </w:tcPr>
          <w:p w14:paraId="021501DF">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r>
              <w:rPr>
                <w:rFonts w:hint="eastAsia" w:ascii="Times New Roman" w:hAnsi="Times New Roman" w:eastAsia="宋体" w:cs="Times New Roman"/>
                <w:color w:val="000000"/>
                <w:kern w:val="0"/>
                <w:szCs w:val="21"/>
              </w:rPr>
              <w:t>/7</w:t>
            </w:r>
          </w:p>
        </w:tc>
        <w:tc>
          <w:tcPr>
            <w:tcW w:w="1418" w:type="dxa"/>
            <w:tcBorders>
              <w:top w:val="nil"/>
              <w:left w:val="nil"/>
              <w:bottom w:val="single" w:color="auto" w:sz="4" w:space="0"/>
              <w:right w:val="single" w:color="auto" w:sz="4" w:space="0"/>
            </w:tcBorders>
            <w:shd w:val="clear" w:color="auto" w:fill="auto"/>
            <w:vAlign w:val="center"/>
          </w:tcPr>
          <w:p w14:paraId="7AF5709F">
            <w:pPr>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10</w:t>
            </w:r>
          </w:p>
        </w:tc>
        <w:tc>
          <w:tcPr>
            <w:tcW w:w="850" w:type="dxa"/>
            <w:tcBorders>
              <w:top w:val="nil"/>
              <w:left w:val="nil"/>
              <w:bottom w:val="single" w:color="auto" w:sz="4" w:space="0"/>
              <w:right w:val="single" w:color="auto" w:sz="4" w:space="0"/>
            </w:tcBorders>
            <w:shd w:val="clear" w:color="auto" w:fill="auto"/>
            <w:noWrap/>
            <w:vAlign w:val="center"/>
          </w:tcPr>
          <w:p w14:paraId="34EE6ED6">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nil"/>
              <w:left w:val="nil"/>
              <w:bottom w:val="single" w:color="auto" w:sz="4" w:space="0"/>
              <w:right w:val="single" w:color="auto" w:sz="4" w:space="0"/>
            </w:tcBorders>
            <w:shd w:val="clear" w:color="auto" w:fill="auto"/>
            <w:noWrap/>
            <w:vAlign w:val="center"/>
          </w:tcPr>
          <w:p w14:paraId="3A1EE7E0">
            <w:pPr>
              <w:widowControl/>
              <w:jc w:val="center"/>
              <w:rPr>
                <w:rFonts w:ascii="Times New Roman" w:hAnsi="Times New Roman" w:eastAsia="宋体" w:cs="Times New Roman"/>
                <w:color w:val="000000"/>
                <w:kern w:val="0"/>
                <w:szCs w:val="21"/>
              </w:rPr>
            </w:pPr>
          </w:p>
        </w:tc>
        <w:tc>
          <w:tcPr>
            <w:tcW w:w="850" w:type="dxa"/>
            <w:tcBorders>
              <w:top w:val="nil"/>
              <w:left w:val="nil"/>
              <w:bottom w:val="single" w:color="auto" w:sz="4" w:space="0"/>
              <w:right w:val="single" w:color="auto" w:sz="4" w:space="0"/>
            </w:tcBorders>
            <w:shd w:val="clear" w:color="auto" w:fill="auto"/>
            <w:noWrap/>
            <w:vAlign w:val="center"/>
          </w:tcPr>
          <w:p w14:paraId="4EB257F0">
            <w:pPr>
              <w:widowControl/>
              <w:jc w:val="center"/>
              <w:rPr>
                <w:rFonts w:ascii="Times New Roman" w:hAnsi="Times New Roman" w:eastAsia="宋体" w:cs="Times New Roman"/>
                <w:color w:val="000000"/>
                <w:kern w:val="0"/>
                <w:szCs w:val="21"/>
              </w:rPr>
            </w:pPr>
          </w:p>
        </w:tc>
        <w:tc>
          <w:tcPr>
            <w:tcW w:w="1418" w:type="dxa"/>
            <w:tcBorders>
              <w:top w:val="nil"/>
              <w:left w:val="nil"/>
              <w:bottom w:val="single" w:color="auto" w:sz="4" w:space="0"/>
              <w:right w:val="single" w:color="auto" w:sz="8" w:space="0"/>
            </w:tcBorders>
            <w:shd w:val="clear" w:color="auto" w:fill="auto"/>
            <w:noWrap/>
            <w:vAlign w:val="center"/>
          </w:tcPr>
          <w:p w14:paraId="2AE46AAE">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45</w:t>
            </w:r>
            <w:r>
              <w:rPr>
                <w:rFonts w:hint="eastAsia" w:ascii="Times New Roman" w:hAnsi="Times New Roman" w:eastAsia="宋体" w:cs="Times New Roman"/>
                <w:color w:val="000000"/>
                <w:kern w:val="0"/>
                <w:szCs w:val="21"/>
              </w:rPr>
              <w:t>/3</w:t>
            </w:r>
            <w:r>
              <w:rPr>
                <w:rFonts w:ascii="Times New Roman" w:hAnsi="Times New Roman" w:eastAsia="宋体" w:cs="Times New Roman"/>
                <w:color w:val="000000"/>
                <w:kern w:val="0"/>
                <w:szCs w:val="21"/>
              </w:rPr>
              <w:t>09</w:t>
            </w:r>
          </w:p>
        </w:tc>
      </w:tr>
      <w:tr w14:paraId="0EA6ABF1">
        <w:tblPrEx>
          <w:tblCellMar>
            <w:top w:w="0" w:type="dxa"/>
            <w:left w:w="108" w:type="dxa"/>
            <w:bottom w:w="0" w:type="dxa"/>
            <w:right w:w="108" w:type="dxa"/>
          </w:tblCellMar>
        </w:tblPrEx>
        <w:trPr>
          <w:trHeight w:val="270" w:hRule="atLeast"/>
        </w:trPr>
        <w:tc>
          <w:tcPr>
            <w:tcW w:w="1124" w:type="dxa"/>
            <w:tcBorders>
              <w:top w:val="nil"/>
              <w:left w:val="single" w:color="auto" w:sz="8" w:space="0"/>
              <w:bottom w:val="single" w:color="auto" w:sz="8" w:space="0"/>
              <w:right w:val="single" w:color="auto" w:sz="4" w:space="0"/>
            </w:tcBorders>
            <w:shd w:val="clear" w:color="auto" w:fill="auto"/>
            <w:noWrap/>
            <w:vAlign w:val="center"/>
          </w:tcPr>
          <w:p w14:paraId="48D33077">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合计</w:t>
            </w:r>
          </w:p>
        </w:tc>
        <w:tc>
          <w:tcPr>
            <w:tcW w:w="1276" w:type="dxa"/>
            <w:tcBorders>
              <w:top w:val="nil"/>
              <w:left w:val="nil"/>
              <w:bottom w:val="single" w:color="auto" w:sz="8" w:space="0"/>
              <w:right w:val="single" w:color="auto" w:sz="4" w:space="0"/>
            </w:tcBorders>
            <w:shd w:val="clear" w:color="auto" w:fill="auto"/>
            <w:noWrap/>
            <w:vAlign w:val="center"/>
          </w:tcPr>
          <w:p w14:paraId="68F7212A">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30</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66</w:t>
            </w:r>
          </w:p>
        </w:tc>
        <w:tc>
          <w:tcPr>
            <w:tcW w:w="1418" w:type="dxa"/>
            <w:tcBorders>
              <w:top w:val="nil"/>
              <w:left w:val="nil"/>
              <w:bottom w:val="single" w:color="auto" w:sz="8" w:space="0"/>
              <w:right w:val="single" w:color="auto" w:sz="4" w:space="0"/>
            </w:tcBorders>
            <w:shd w:val="clear" w:color="auto" w:fill="auto"/>
            <w:vAlign w:val="center"/>
          </w:tcPr>
          <w:p w14:paraId="3D78088C">
            <w:pPr>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37</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84</w:t>
            </w:r>
          </w:p>
        </w:tc>
        <w:tc>
          <w:tcPr>
            <w:tcW w:w="850" w:type="dxa"/>
            <w:tcBorders>
              <w:top w:val="nil"/>
              <w:left w:val="nil"/>
              <w:bottom w:val="single" w:color="auto" w:sz="8" w:space="0"/>
              <w:right w:val="single" w:color="auto" w:sz="4" w:space="0"/>
            </w:tcBorders>
            <w:shd w:val="clear" w:color="auto" w:fill="auto"/>
            <w:noWrap/>
            <w:vAlign w:val="center"/>
          </w:tcPr>
          <w:p w14:paraId="6BC04396">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10</w:t>
            </w:r>
          </w:p>
        </w:tc>
        <w:tc>
          <w:tcPr>
            <w:tcW w:w="1418" w:type="dxa"/>
            <w:tcBorders>
              <w:top w:val="nil"/>
              <w:left w:val="nil"/>
              <w:bottom w:val="single" w:color="auto" w:sz="8" w:space="0"/>
              <w:right w:val="single" w:color="auto" w:sz="4" w:space="0"/>
            </w:tcBorders>
            <w:shd w:val="clear" w:color="auto" w:fill="auto"/>
            <w:noWrap/>
            <w:vAlign w:val="center"/>
          </w:tcPr>
          <w:p w14:paraId="49EDD0F2">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14</w:t>
            </w:r>
          </w:p>
        </w:tc>
        <w:tc>
          <w:tcPr>
            <w:tcW w:w="850" w:type="dxa"/>
            <w:tcBorders>
              <w:top w:val="nil"/>
              <w:left w:val="nil"/>
              <w:bottom w:val="single" w:color="auto" w:sz="8" w:space="0"/>
              <w:right w:val="single" w:color="auto" w:sz="4" w:space="0"/>
            </w:tcBorders>
            <w:shd w:val="clear" w:color="auto" w:fill="auto"/>
            <w:noWrap/>
            <w:vAlign w:val="center"/>
          </w:tcPr>
          <w:p w14:paraId="4375ACB4">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13</w:t>
            </w:r>
          </w:p>
        </w:tc>
        <w:tc>
          <w:tcPr>
            <w:tcW w:w="1418" w:type="dxa"/>
            <w:tcBorders>
              <w:top w:val="nil"/>
              <w:left w:val="nil"/>
              <w:bottom w:val="single" w:color="auto" w:sz="8" w:space="0"/>
              <w:right w:val="single" w:color="auto" w:sz="8" w:space="0"/>
            </w:tcBorders>
            <w:shd w:val="clear" w:color="auto" w:fill="auto"/>
            <w:noWrap/>
            <w:vAlign w:val="center"/>
          </w:tcPr>
          <w:p w14:paraId="146F5899">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2756</w:t>
            </w:r>
            <w:r>
              <w:rPr>
                <w:rFonts w:hint="eastAsia" w:ascii="Times New Roman" w:hAnsi="Times New Roman" w:eastAsia="宋体" w:cs="Times New Roman"/>
                <w:color w:val="000000"/>
                <w:kern w:val="0"/>
                <w:szCs w:val="21"/>
              </w:rPr>
              <w:t>/5</w:t>
            </w:r>
            <w:r>
              <w:rPr>
                <w:rFonts w:ascii="Times New Roman" w:hAnsi="Times New Roman" w:eastAsia="宋体" w:cs="Times New Roman"/>
                <w:color w:val="000000"/>
                <w:kern w:val="0"/>
                <w:szCs w:val="21"/>
              </w:rPr>
              <w:t>150</w:t>
            </w:r>
          </w:p>
        </w:tc>
      </w:tr>
      <w:bookmarkEnd w:id="3"/>
    </w:tbl>
    <w:p w14:paraId="35FC7BE7">
      <w:pPr>
        <w:pStyle w:val="17"/>
        <w:ind w:firstLine="480"/>
      </w:pPr>
      <w:bookmarkStart w:id="4" w:name="_Hlk120513457"/>
      <w:r>
        <w:rPr>
          <w:rFonts w:hint="eastAsia"/>
        </w:rPr>
        <w:t>上表中，其它国企主要为国家能源集团4家、延长石油2家、辽宁华锦1家，除辽宁华锦，另6家均为煤制烯烃，不在本标准统计范围内。</w:t>
      </w:r>
    </w:p>
    <w:p w14:paraId="5380B101">
      <w:pPr>
        <w:pStyle w:val="17"/>
        <w:ind w:firstLine="480"/>
      </w:pPr>
      <w:r>
        <w:rPr>
          <w:rFonts w:hint="eastAsia"/>
        </w:rPr>
        <w:t>调研乙烯装置中，轻烃裂解装置碳排放水平与石脑油原料的乙烯差距不大，故本次碳排放水平设置暂不区分原料类型；后续随乙烷制乙烯装置建设增涨情况适时修订本标准。</w:t>
      </w:r>
    </w:p>
    <w:bookmarkEnd w:id="4"/>
    <w:p w14:paraId="60240919">
      <w:pPr>
        <w:pStyle w:val="17"/>
        <w:ind w:firstLine="480"/>
      </w:pPr>
      <w:r>
        <w:rPr>
          <w:rFonts w:hint="eastAsia"/>
        </w:rPr>
        <w:t>参考欧盟、上海乙烯产品碳排放指标，结合本次调研数据，采用“单位产品碳排放强度”为指标表征乙烯行业碳排放水平，即</w:t>
      </w:r>
      <w:r>
        <w:rPr>
          <w:rFonts w:cs="Times New Roman"/>
        </w:rPr>
        <w:t>统计报告期内，</w:t>
      </w:r>
      <w:r>
        <w:rPr>
          <w:rFonts w:hint="eastAsia" w:cs="Times New Roman"/>
        </w:rPr>
        <w:t>乙烯装置</w:t>
      </w:r>
      <w:r>
        <w:rPr>
          <w:rFonts w:cs="Times New Roman"/>
        </w:rPr>
        <w:t>的二氧化碳排放总量与</w:t>
      </w:r>
      <w:r>
        <w:rPr>
          <w:rFonts w:hint="eastAsia" w:cs="Times New Roman"/>
        </w:rPr>
        <w:t>单位产品</w:t>
      </w:r>
      <w:r>
        <w:rPr>
          <w:rFonts w:cs="Times New Roman"/>
        </w:rPr>
        <w:t>的比值。</w:t>
      </w:r>
      <w:bookmarkStart w:id="5" w:name="_Hlk120525721"/>
      <w:r>
        <w:rPr>
          <w:rFonts w:hint="eastAsia" w:cs="Times New Roman"/>
        </w:rPr>
        <w:t>给出“单位乙烯产品碳排放指标”、“单位双烯产品碳排放指标”和“单位高附加值产品碳排放指标”三类指标。将</w:t>
      </w:r>
      <w:r>
        <w:rPr>
          <w:rFonts w:cs="Times New Roman"/>
        </w:rPr>
        <w:t>单位</w:t>
      </w:r>
      <w:r>
        <w:rPr>
          <w:rFonts w:hint="eastAsia" w:cs="Times New Roman"/>
        </w:rPr>
        <w:t>产品</w:t>
      </w:r>
      <w:r>
        <w:rPr>
          <w:rFonts w:cs="Times New Roman"/>
        </w:rPr>
        <w:t>碳排放</w:t>
      </w:r>
      <w:r>
        <w:rPr>
          <w:rFonts w:hint="eastAsia" w:cs="Times New Roman"/>
        </w:rPr>
        <w:t>强度</w:t>
      </w:r>
      <w:r>
        <w:rPr>
          <w:rFonts w:cs="Times New Roman"/>
        </w:rPr>
        <w:t>限额等级分为3级，其中</w:t>
      </w:r>
      <w:r>
        <w:rPr>
          <w:rFonts w:hint="eastAsia" w:cs="Times New Roman"/>
        </w:rPr>
        <w:t>“</w:t>
      </w:r>
      <w:r>
        <w:rPr>
          <w:rFonts w:cs="Times New Roman"/>
        </w:rPr>
        <w:t>1级</w:t>
      </w:r>
      <w:r>
        <w:rPr>
          <w:rFonts w:hint="eastAsia" w:cs="Times New Roman"/>
        </w:rPr>
        <w:t>值”</w:t>
      </w:r>
      <w:r>
        <w:rPr>
          <w:rFonts w:cs="Times New Roman"/>
        </w:rPr>
        <w:t>碳排放强度最低</w:t>
      </w:r>
      <w:r>
        <w:rPr>
          <w:rFonts w:hint="eastAsia" w:cs="Times New Roman"/>
        </w:rPr>
        <w:t>，“</w:t>
      </w:r>
      <w:r>
        <w:rPr>
          <w:rFonts w:cs="Times New Roman"/>
        </w:rPr>
        <w:t>3级</w:t>
      </w:r>
      <w:r>
        <w:rPr>
          <w:rFonts w:hint="eastAsia" w:cs="Times New Roman"/>
        </w:rPr>
        <w:t>值”碳排放强度最高</w:t>
      </w:r>
      <w:r>
        <w:rPr>
          <w:rFonts w:cs="Times New Roman"/>
        </w:rPr>
        <w:t>。</w:t>
      </w:r>
      <w:r>
        <w:t>“1级值”</w:t>
      </w:r>
      <w:r>
        <w:rPr>
          <w:rFonts w:hint="eastAsia"/>
        </w:rPr>
        <w:t>表示为领先水平</w:t>
      </w:r>
      <w:r>
        <w:t>、“2级值”</w:t>
      </w:r>
      <w:r>
        <w:rPr>
          <w:rFonts w:hint="eastAsia"/>
        </w:rPr>
        <w:t>表示为先进水平</w:t>
      </w:r>
      <w:r>
        <w:t>、“3级值”</w:t>
      </w:r>
      <w:r>
        <w:rPr>
          <w:rFonts w:hint="eastAsia"/>
        </w:rPr>
        <w:t>表示为基本水平。高附加值产品的统计范围与欧盟保持一致，即包括乙烯、丙烯、丁二烯、苯、氢气和乙炔。</w:t>
      </w:r>
    </w:p>
    <w:p w14:paraId="617DE3FD">
      <w:pPr>
        <w:pStyle w:val="3"/>
        <w:spacing w:before="156" w:after="156"/>
      </w:pPr>
      <w:r>
        <w:rPr>
          <w:rFonts w:hint="eastAsia"/>
        </w:rPr>
        <w:t>乙烯装置碳排放水平</w:t>
      </w:r>
    </w:p>
    <w:bookmarkEnd w:id="5"/>
    <w:p w14:paraId="61DA8850">
      <w:pPr>
        <w:pStyle w:val="17"/>
        <w:spacing w:after="156"/>
        <w:ind w:firstLine="480"/>
      </w:pPr>
      <w:r>
        <w:rPr>
          <w:rFonts w:hint="eastAsia"/>
        </w:rPr>
        <w:t>本次调研工作收集了</w:t>
      </w:r>
      <w:r>
        <w:t>30</w:t>
      </w:r>
      <w:r>
        <w:rPr>
          <w:rFonts w:hint="eastAsia"/>
        </w:rPr>
        <w:t>家企业3</w:t>
      </w:r>
      <w:r>
        <w:t>7</w:t>
      </w:r>
      <w:r>
        <w:rPr>
          <w:rFonts w:hint="eastAsia"/>
        </w:rPr>
        <w:t>套乙烯装置2</w:t>
      </w:r>
      <w:r>
        <w:t>019</w:t>
      </w:r>
      <w:r>
        <w:rPr>
          <w:rFonts w:hint="eastAsia" w:ascii="宋体" w:hAnsi="宋体"/>
        </w:rPr>
        <w:t>～</w:t>
      </w:r>
      <w:r>
        <w:t>2023</w:t>
      </w:r>
      <w:r>
        <w:rPr>
          <w:rFonts w:hint="eastAsia"/>
        </w:rPr>
        <w:t>年的碳排放数据。通过数据分析剔除异常值及3家非蒸汽裂解乙烯企业数据，共获得有效样本数1</w:t>
      </w:r>
      <w:r>
        <w:t>16</w:t>
      </w:r>
      <w:r>
        <w:rPr>
          <w:rFonts w:hint="eastAsia"/>
        </w:rPr>
        <w:t>份。其中，1</w:t>
      </w:r>
      <w:r>
        <w:t>00</w:t>
      </w:r>
      <w:r>
        <w:rPr>
          <w:rFonts w:hint="eastAsia"/>
        </w:rPr>
        <w:t>万吨及以上规模有效样本数3</w:t>
      </w:r>
      <w:r>
        <w:t>5</w:t>
      </w:r>
      <w:r>
        <w:rPr>
          <w:rFonts w:hint="eastAsia"/>
        </w:rPr>
        <w:t>份，6</w:t>
      </w:r>
      <w:r>
        <w:t>0</w:t>
      </w:r>
      <w:r>
        <w:rPr>
          <w:rFonts w:hint="eastAsia"/>
        </w:rPr>
        <w:t>~</w:t>
      </w:r>
      <w:r>
        <w:t>95</w:t>
      </w:r>
      <w:r>
        <w:rPr>
          <w:rFonts w:hint="eastAsia"/>
        </w:rPr>
        <w:t>万吨规模有效样本数</w:t>
      </w:r>
      <w:r>
        <w:t>51</w:t>
      </w:r>
      <w:r>
        <w:rPr>
          <w:rFonts w:hint="eastAsia"/>
        </w:rPr>
        <w:t>份，</w:t>
      </w:r>
      <w:r>
        <w:t>30</w:t>
      </w:r>
      <w:r>
        <w:rPr>
          <w:rFonts w:hint="eastAsia"/>
        </w:rPr>
        <w:t>~</w:t>
      </w:r>
      <w:r>
        <w:t>46</w:t>
      </w:r>
      <w:r>
        <w:rPr>
          <w:rFonts w:hint="eastAsia"/>
        </w:rPr>
        <w:t>万吨规模有效样本数</w:t>
      </w:r>
      <w:r>
        <w:t>3</w:t>
      </w:r>
      <w:r>
        <w:rPr>
          <w:rFonts w:hint="eastAsia"/>
        </w:rPr>
        <w:t>份，</w:t>
      </w:r>
      <w:r>
        <w:t>30</w:t>
      </w:r>
      <w:r>
        <w:rPr>
          <w:rFonts w:hint="eastAsia"/>
        </w:rPr>
        <w:t>万吨规模以下有效样本数</w:t>
      </w:r>
      <w:r>
        <w:t>27</w:t>
      </w:r>
      <w:r>
        <w:rPr>
          <w:rFonts w:hint="eastAsia"/>
        </w:rPr>
        <w:t>份。</w:t>
      </w:r>
    </w:p>
    <w:p w14:paraId="1AC691A9">
      <w:pPr>
        <w:pStyle w:val="17"/>
        <w:spacing w:before="120" w:after="156"/>
        <w:ind w:firstLine="480"/>
        <w:rPr>
          <w:rFonts w:cs="Times New Roman"/>
        </w:rPr>
      </w:pPr>
      <w:r>
        <w:rPr>
          <w:rFonts w:hint="eastAsia"/>
        </w:rPr>
        <w:t>通过获取样本的</w:t>
      </w:r>
      <w:r>
        <w:rPr>
          <w:rFonts w:cs="Times New Roman"/>
        </w:rPr>
        <w:t>单位</w:t>
      </w:r>
      <w:r>
        <w:rPr>
          <w:rFonts w:hint="eastAsia" w:cs="Times New Roman"/>
        </w:rPr>
        <w:t>产品</w:t>
      </w:r>
      <w:r>
        <w:rPr>
          <w:rFonts w:cs="Times New Roman"/>
        </w:rPr>
        <w:t>碳排放</w:t>
      </w:r>
      <w:r>
        <w:rPr>
          <w:rFonts w:hint="eastAsia" w:cs="Times New Roman"/>
        </w:rPr>
        <w:t>强度值，对样本数据从低到高进行排序，分别确定“单位乙烯产品碳排放指标”、“单位双烯产品碳排放指标”和“单位高附加值产品碳排放指标”。详见表</w:t>
      </w:r>
      <w:r>
        <w:rPr>
          <w:rFonts w:cs="Times New Roman"/>
        </w:rPr>
        <w:t>3.3-1</w:t>
      </w:r>
      <w:r>
        <w:rPr>
          <w:rFonts w:hint="eastAsia" w:cs="Times New Roman"/>
        </w:rPr>
        <w:t>。</w:t>
      </w:r>
    </w:p>
    <w:p w14:paraId="0A7038A0">
      <w:pPr>
        <w:pStyle w:val="17"/>
        <w:spacing w:before="120" w:after="156"/>
        <w:ind w:firstLine="480"/>
      </w:pPr>
      <w:r>
        <w:rPr>
          <w:rFonts w:cs="Times New Roman"/>
        </w:rPr>
        <w:t>单位</w:t>
      </w:r>
      <w:r>
        <w:rPr>
          <w:rFonts w:hint="eastAsia" w:cs="Times New Roman"/>
        </w:rPr>
        <w:t>乙烯产品</w:t>
      </w:r>
      <w:r>
        <w:rPr>
          <w:rFonts w:cs="Times New Roman"/>
        </w:rPr>
        <w:t>碳排放</w:t>
      </w:r>
      <w:r>
        <w:rPr>
          <w:rFonts w:hint="eastAsia" w:cs="Times New Roman"/>
        </w:rPr>
        <w:t>强度“</w:t>
      </w:r>
      <w:r>
        <w:rPr>
          <w:rFonts w:cs="Times New Roman"/>
        </w:rPr>
        <w:t>1级</w:t>
      </w:r>
      <w:r>
        <w:rPr>
          <w:rFonts w:hint="eastAsia" w:cs="Times New Roman"/>
        </w:rPr>
        <w:t>值”</w:t>
      </w:r>
      <w:r>
        <w:rPr>
          <w:rFonts w:hint="eastAsia"/>
        </w:rPr>
        <w:t>（前</w:t>
      </w:r>
      <w:r>
        <w:t>10%</w:t>
      </w:r>
      <w:r>
        <w:rPr>
          <w:rFonts w:hint="eastAsia"/>
        </w:rPr>
        <w:t>平均值）为</w:t>
      </w:r>
      <w:r>
        <w:t>1.36</w:t>
      </w:r>
      <w:r>
        <w:rPr>
          <w:vertAlign w:val="subscript"/>
        </w:rPr>
        <w:t>CO2</w:t>
      </w:r>
      <w:r>
        <w:t>/</w:t>
      </w:r>
      <w:r>
        <w:rPr>
          <w:rFonts w:hint="eastAsia"/>
        </w:rPr>
        <w:t>t</w:t>
      </w:r>
      <w:r>
        <w:rPr>
          <w:rFonts w:hint="eastAsia"/>
          <w:vertAlign w:val="subscript"/>
        </w:rPr>
        <w:t>乙烯</w:t>
      </w:r>
      <w:r>
        <w:rPr>
          <w:rFonts w:hint="eastAsia"/>
        </w:rPr>
        <w:t>，</w:t>
      </w:r>
      <w:r>
        <w:rPr>
          <w:rFonts w:hint="eastAsia" w:cs="Times New Roman"/>
        </w:rPr>
        <w:t>“</w:t>
      </w:r>
      <w:r>
        <w:rPr>
          <w:rFonts w:cs="Times New Roman"/>
        </w:rPr>
        <w:t>2级</w:t>
      </w:r>
      <w:r>
        <w:rPr>
          <w:rFonts w:hint="eastAsia" w:cs="Times New Roman"/>
        </w:rPr>
        <w:t>值”</w:t>
      </w:r>
      <w:r>
        <w:rPr>
          <w:rFonts w:hint="eastAsia"/>
        </w:rPr>
        <w:t>（前</w:t>
      </w:r>
      <w:r>
        <w:t>30%</w:t>
      </w:r>
      <w:r>
        <w:rPr>
          <w:rFonts w:hint="eastAsia"/>
        </w:rPr>
        <w:t>平均值）为</w:t>
      </w:r>
      <w:r>
        <w:t>1.44t</w:t>
      </w:r>
      <w:r>
        <w:rPr>
          <w:vertAlign w:val="subscript"/>
        </w:rPr>
        <w:t>CO2</w:t>
      </w:r>
      <w:r>
        <w:t>/</w:t>
      </w:r>
      <w:r>
        <w:rPr>
          <w:rFonts w:hint="eastAsia"/>
        </w:rPr>
        <w:t>t</w:t>
      </w:r>
      <w:r>
        <w:rPr>
          <w:rFonts w:hint="eastAsia"/>
          <w:vertAlign w:val="subscript"/>
        </w:rPr>
        <w:t>乙烯</w:t>
      </w:r>
      <w:r>
        <w:rPr>
          <w:rFonts w:hint="eastAsia"/>
        </w:rPr>
        <w:t>，</w:t>
      </w:r>
      <w:r>
        <w:rPr>
          <w:rFonts w:hint="eastAsia" w:cs="Times New Roman"/>
        </w:rPr>
        <w:t>“</w:t>
      </w:r>
      <w:r>
        <w:rPr>
          <w:rFonts w:cs="Times New Roman"/>
        </w:rPr>
        <w:t>3级</w:t>
      </w:r>
      <w:r>
        <w:rPr>
          <w:rFonts w:hint="eastAsia" w:cs="Times New Roman"/>
        </w:rPr>
        <w:t>值”</w:t>
      </w:r>
      <w:r>
        <w:rPr>
          <w:rFonts w:hint="eastAsia"/>
        </w:rPr>
        <w:t>（前</w:t>
      </w:r>
      <w:r>
        <w:t>70%</w:t>
      </w:r>
      <w:r>
        <w:rPr>
          <w:rFonts w:hint="eastAsia"/>
        </w:rPr>
        <w:t>平均值）为</w:t>
      </w:r>
      <w:r>
        <w:t>1.55t</w:t>
      </w:r>
      <w:r>
        <w:rPr>
          <w:vertAlign w:val="subscript"/>
        </w:rPr>
        <w:t>CO2</w:t>
      </w:r>
      <w:r>
        <w:t>/</w:t>
      </w:r>
      <w:r>
        <w:rPr>
          <w:rFonts w:hint="eastAsia"/>
        </w:rPr>
        <w:t>t</w:t>
      </w:r>
      <w:r>
        <w:rPr>
          <w:rFonts w:hint="eastAsia"/>
          <w:vertAlign w:val="subscript"/>
        </w:rPr>
        <w:t>乙烯</w:t>
      </w:r>
      <w:r>
        <w:rPr>
          <w:rFonts w:hint="eastAsia"/>
        </w:rPr>
        <w:t>。</w:t>
      </w:r>
    </w:p>
    <w:p w14:paraId="0E390681">
      <w:pPr>
        <w:pStyle w:val="17"/>
        <w:spacing w:before="120" w:after="156"/>
        <w:ind w:firstLine="480"/>
      </w:pPr>
      <w:r>
        <w:rPr>
          <w:rFonts w:cs="Times New Roman"/>
        </w:rPr>
        <w:t>单位</w:t>
      </w:r>
      <w:r>
        <w:rPr>
          <w:rFonts w:hint="eastAsia" w:cs="Times New Roman"/>
        </w:rPr>
        <w:t>双烯产品</w:t>
      </w:r>
      <w:r>
        <w:rPr>
          <w:rFonts w:cs="Times New Roman"/>
        </w:rPr>
        <w:t>碳排放</w:t>
      </w:r>
      <w:r>
        <w:rPr>
          <w:rFonts w:hint="eastAsia" w:cs="Times New Roman"/>
        </w:rPr>
        <w:t>强度“</w:t>
      </w:r>
      <w:r>
        <w:rPr>
          <w:rFonts w:cs="Times New Roman"/>
        </w:rPr>
        <w:t>1级</w:t>
      </w:r>
      <w:r>
        <w:rPr>
          <w:rFonts w:hint="eastAsia" w:cs="Times New Roman"/>
        </w:rPr>
        <w:t>值”</w:t>
      </w:r>
      <w:r>
        <w:rPr>
          <w:rFonts w:hint="eastAsia"/>
        </w:rPr>
        <w:t>（前</w:t>
      </w:r>
      <w:r>
        <w:t>10%</w:t>
      </w:r>
      <w:r>
        <w:rPr>
          <w:rFonts w:hint="eastAsia"/>
        </w:rPr>
        <w:t>平均值）为</w:t>
      </w:r>
      <w:r>
        <w:t>0.91</w:t>
      </w:r>
      <w:r>
        <w:rPr>
          <w:vertAlign w:val="subscript"/>
        </w:rPr>
        <w:t>CO2</w:t>
      </w:r>
      <w:r>
        <w:t>/</w:t>
      </w:r>
      <w:r>
        <w:rPr>
          <w:rFonts w:hint="eastAsia"/>
        </w:rPr>
        <w:t>t</w:t>
      </w:r>
      <w:r>
        <w:rPr>
          <w:rFonts w:hint="eastAsia"/>
          <w:vertAlign w:val="subscript"/>
        </w:rPr>
        <w:t>双烯</w:t>
      </w:r>
      <w:r>
        <w:rPr>
          <w:rFonts w:hint="eastAsia"/>
        </w:rPr>
        <w:t>，</w:t>
      </w:r>
      <w:r>
        <w:rPr>
          <w:rFonts w:hint="eastAsia" w:cs="Times New Roman"/>
        </w:rPr>
        <w:t>“</w:t>
      </w:r>
      <w:r>
        <w:rPr>
          <w:rFonts w:cs="Times New Roman"/>
        </w:rPr>
        <w:t>2级</w:t>
      </w:r>
      <w:r>
        <w:rPr>
          <w:rFonts w:hint="eastAsia" w:cs="Times New Roman"/>
        </w:rPr>
        <w:t>值”</w:t>
      </w:r>
      <w:r>
        <w:rPr>
          <w:rFonts w:hint="eastAsia"/>
        </w:rPr>
        <w:t>（前</w:t>
      </w:r>
      <w:r>
        <w:t>30%</w:t>
      </w:r>
      <w:r>
        <w:rPr>
          <w:rFonts w:hint="eastAsia"/>
        </w:rPr>
        <w:t>平均值）为</w:t>
      </w:r>
      <w:r>
        <w:t>0.97t</w:t>
      </w:r>
      <w:r>
        <w:rPr>
          <w:vertAlign w:val="subscript"/>
        </w:rPr>
        <w:t>CO2</w:t>
      </w:r>
      <w:r>
        <w:t>/</w:t>
      </w:r>
      <w:r>
        <w:rPr>
          <w:rFonts w:hint="eastAsia"/>
        </w:rPr>
        <w:t>t</w:t>
      </w:r>
      <w:r>
        <w:rPr>
          <w:rFonts w:hint="eastAsia"/>
          <w:vertAlign w:val="subscript"/>
        </w:rPr>
        <w:t>双烯</w:t>
      </w:r>
      <w:r>
        <w:rPr>
          <w:rFonts w:hint="eastAsia"/>
        </w:rPr>
        <w:t>，</w:t>
      </w:r>
      <w:r>
        <w:rPr>
          <w:rFonts w:hint="eastAsia" w:cs="Times New Roman"/>
        </w:rPr>
        <w:t>“</w:t>
      </w:r>
      <w:r>
        <w:rPr>
          <w:rFonts w:cs="Times New Roman"/>
        </w:rPr>
        <w:t>3级</w:t>
      </w:r>
      <w:r>
        <w:rPr>
          <w:rFonts w:hint="eastAsia" w:cs="Times New Roman"/>
        </w:rPr>
        <w:t>值”</w:t>
      </w:r>
      <w:r>
        <w:rPr>
          <w:rFonts w:hint="eastAsia"/>
        </w:rPr>
        <w:t>（前</w:t>
      </w:r>
      <w:r>
        <w:t>70%</w:t>
      </w:r>
      <w:r>
        <w:rPr>
          <w:rFonts w:hint="eastAsia"/>
        </w:rPr>
        <w:t>平均值）为</w:t>
      </w:r>
      <w:r>
        <w:t>1.07t</w:t>
      </w:r>
      <w:r>
        <w:rPr>
          <w:vertAlign w:val="subscript"/>
        </w:rPr>
        <w:t>CO2</w:t>
      </w:r>
      <w:r>
        <w:t>/</w:t>
      </w:r>
      <w:r>
        <w:rPr>
          <w:rFonts w:hint="eastAsia"/>
        </w:rPr>
        <w:t>t</w:t>
      </w:r>
      <w:r>
        <w:rPr>
          <w:rFonts w:hint="eastAsia"/>
          <w:vertAlign w:val="subscript"/>
        </w:rPr>
        <w:t>双烯</w:t>
      </w:r>
      <w:r>
        <w:rPr>
          <w:rFonts w:hint="eastAsia"/>
        </w:rPr>
        <w:t>。</w:t>
      </w:r>
    </w:p>
    <w:p w14:paraId="3CBB3511">
      <w:pPr>
        <w:pStyle w:val="17"/>
        <w:spacing w:before="120" w:after="156"/>
        <w:ind w:firstLine="480"/>
        <w:rPr>
          <w:rFonts w:cs="Times New Roman"/>
        </w:rPr>
      </w:pPr>
      <w:r>
        <w:rPr>
          <w:rFonts w:cs="Times New Roman"/>
        </w:rPr>
        <w:t>单位</w:t>
      </w:r>
      <w:r>
        <w:rPr>
          <w:rFonts w:hint="eastAsia" w:cs="Times New Roman"/>
        </w:rPr>
        <w:t>高附加值产品</w:t>
      </w:r>
      <w:r>
        <w:rPr>
          <w:rFonts w:cs="Times New Roman"/>
        </w:rPr>
        <w:t>碳排放</w:t>
      </w:r>
      <w:r>
        <w:rPr>
          <w:rFonts w:hint="eastAsia" w:cs="Times New Roman"/>
        </w:rPr>
        <w:t>强度“</w:t>
      </w:r>
      <w:r>
        <w:rPr>
          <w:rFonts w:cs="Times New Roman"/>
        </w:rPr>
        <w:t>1级</w:t>
      </w:r>
      <w:r>
        <w:rPr>
          <w:rFonts w:hint="eastAsia" w:cs="Times New Roman"/>
        </w:rPr>
        <w:t>值”</w:t>
      </w:r>
      <w:r>
        <w:rPr>
          <w:rFonts w:hint="eastAsia"/>
        </w:rPr>
        <w:t>（前</w:t>
      </w:r>
      <w:r>
        <w:t>10%</w:t>
      </w:r>
      <w:r>
        <w:rPr>
          <w:rFonts w:hint="eastAsia"/>
        </w:rPr>
        <w:t>平均值）为</w:t>
      </w:r>
      <w:r>
        <w:t>0.60</w:t>
      </w:r>
      <w:r>
        <w:rPr>
          <w:vertAlign w:val="subscript"/>
        </w:rPr>
        <w:t>CO2</w:t>
      </w:r>
      <w:r>
        <w:t>/</w:t>
      </w:r>
      <w:r>
        <w:rPr>
          <w:rFonts w:hint="eastAsia"/>
        </w:rPr>
        <w:t>t</w:t>
      </w:r>
      <w:r>
        <w:rPr>
          <w:rFonts w:hint="eastAsia"/>
          <w:vertAlign w:val="subscript"/>
        </w:rPr>
        <w:t>高附</w:t>
      </w:r>
      <w:r>
        <w:rPr>
          <w:rFonts w:hint="eastAsia"/>
        </w:rPr>
        <w:t>，</w:t>
      </w:r>
      <w:r>
        <w:rPr>
          <w:rFonts w:hint="eastAsia" w:cs="Times New Roman"/>
        </w:rPr>
        <w:t>“</w:t>
      </w:r>
      <w:r>
        <w:rPr>
          <w:rFonts w:cs="Times New Roman"/>
        </w:rPr>
        <w:t>2级</w:t>
      </w:r>
      <w:r>
        <w:rPr>
          <w:rFonts w:hint="eastAsia" w:cs="Times New Roman"/>
        </w:rPr>
        <w:t>值”</w:t>
      </w:r>
      <w:r>
        <w:rPr>
          <w:rFonts w:hint="eastAsia"/>
        </w:rPr>
        <w:t>（前</w:t>
      </w:r>
      <w:r>
        <w:t>30%</w:t>
      </w:r>
      <w:r>
        <w:rPr>
          <w:rFonts w:hint="eastAsia"/>
        </w:rPr>
        <w:t>平均值）为</w:t>
      </w:r>
      <w:r>
        <w:t>0.67t</w:t>
      </w:r>
      <w:r>
        <w:rPr>
          <w:vertAlign w:val="subscript"/>
        </w:rPr>
        <w:t>CO2</w:t>
      </w:r>
      <w:r>
        <w:t>/</w:t>
      </w:r>
      <w:r>
        <w:rPr>
          <w:rFonts w:hint="eastAsia"/>
        </w:rPr>
        <w:t>t</w:t>
      </w:r>
      <w:r>
        <w:rPr>
          <w:rFonts w:hint="eastAsia"/>
          <w:vertAlign w:val="subscript"/>
        </w:rPr>
        <w:t>高附</w:t>
      </w:r>
      <w:r>
        <w:rPr>
          <w:rFonts w:hint="eastAsia"/>
        </w:rPr>
        <w:t>，</w:t>
      </w:r>
      <w:r>
        <w:rPr>
          <w:rFonts w:hint="eastAsia" w:cs="Times New Roman"/>
        </w:rPr>
        <w:t>“</w:t>
      </w:r>
      <w:r>
        <w:rPr>
          <w:rFonts w:cs="Times New Roman"/>
        </w:rPr>
        <w:t>3级</w:t>
      </w:r>
      <w:r>
        <w:rPr>
          <w:rFonts w:hint="eastAsia" w:cs="Times New Roman"/>
        </w:rPr>
        <w:t>值”</w:t>
      </w:r>
      <w:r>
        <w:rPr>
          <w:rFonts w:hint="eastAsia"/>
        </w:rPr>
        <w:t>（前</w:t>
      </w:r>
      <w:r>
        <w:t>70%</w:t>
      </w:r>
      <w:r>
        <w:rPr>
          <w:rFonts w:hint="eastAsia"/>
        </w:rPr>
        <w:t>平均值）为</w:t>
      </w:r>
      <w:r>
        <w:t>0.77t</w:t>
      </w:r>
      <w:r>
        <w:rPr>
          <w:vertAlign w:val="subscript"/>
        </w:rPr>
        <w:t>CO2</w:t>
      </w:r>
      <w:r>
        <w:t>/</w:t>
      </w:r>
      <w:r>
        <w:rPr>
          <w:rFonts w:hint="eastAsia"/>
        </w:rPr>
        <w:t>t</w:t>
      </w:r>
      <w:r>
        <w:rPr>
          <w:rFonts w:hint="eastAsia"/>
          <w:vertAlign w:val="subscript"/>
        </w:rPr>
        <w:t>高附</w:t>
      </w:r>
      <w:r>
        <w:rPr>
          <w:rFonts w:hint="eastAsia"/>
        </w:rPr>
        <w:t>。</w:t>
      </w:r>
    </w:p>
    <w:p w14:paraId="74EF9B79">
      <w:pPr>
        <w:pStyle w:val="17"/>
        <w:spacing w:after="156"/>
        <w:ind w:firstLine="480"/>
        <w:jc w:val="center"/>
        <w:rPr>
          <w:rFonts w:cs="Times New Roman"/>
        </w:rPr>
      </w:pPr>
      <w:r>
        <w:rPr>
          <w:rFonts w:hint="eastAsia" w:cs="Times New Roman"/>
        </w:rPr>
        <w:t>表3</w:t>
      </w:r>
      <w:r>
        <w:rPr>
          <w:rFonts w:cs="Times New Roman"/>
        </w:rPr>
        <w:t>.3</w:t>
      </w:r>
      <w:r>
        <w:rPr>
          <w:rFonts w:hint="eastAsia" w:cs="Times New Roman"/>
        </w:rPr>
        <w:t>-</w:t>
      </w:r>
      <w:r>
        <w:rPr>
          <w:rFonts w:cs="Times New Roman"/>
        </w:rPr>
        <w:t xml:space="preserve">1  </w:t>
      </w:r>
      <w:r>
        <w:rPr>
          <w:rFonts w:hint="eastAsia" w:cs="Times New Roman"/>
        </w:rPr>
        <w:t>单位产品碳排放水平</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4"/>
        <w:gridCol w:w="990"/>
        <w:gridCol w:w="1747"/>
        <w:gridCol w:w="1747"/>
        <w:gridCol w:w="1683"/>
      </w:tblGrid>
      <w:tr w14:paraId="49EC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92" w:type="dxa"/>
            <w:vMerge w:val="restart"/>
            <w:vAlign w:val="center"/>
          </w:tcPr>
          <w:p w14:paraId="272C6A0B">
            <w:pPr>
              <w:autoSpaceDE w:val="0"/>
              <w:autoSpaceDN w:val="0"/>
              <w:adjustRightInd w:val="0"/>
              <w:jc w:val="center"/>
              <w:rPr>
                <w:kern w:val="0"/>
                <w:sz w:val="18"/>
                <w:szCs w:val="18"/>
              </w:rPr>
            </w:pPr>
            <w:r>
              <w:rPr>
                <w:kern w:val="0"/>
                <w:sz w:val="18"/>
                <w:szCs w:val="18"/>
              </w:rPr>
              <w:t>名称</w:t>
            </w:r>
          </w:p>
        </w:tc>
        <w:tc>
          <w:tcPr>
            <w:tcW w:w="964" w:type="dxa"/>
            <w:vMerge w:val="restart"/>
            <w:vAlign w:val="center"/>
          </w:tcPr>
          <w:p w14:paraId="6DECEFDA">
            <w:pPr>
              <w:autoSpaceDE w:val="0"/>
              <w:autoSpaceDN w:val="0"/>
              <w:adjustRightInd w:val="0"/>
              <w:jc w:val="center"/>
              <w:rPr>
                <w:kern w:val="0"/>
                <w:sz w:val="18"/>
                <w:szCs w:val="18"/>
              </w:rPr>
            </w:pPr>
            <w:r>
              <w:rPr>
                <w:kern w:val="0"/>
                <w:sz w:val="18"/>
                <w:szCs w:val="18"/>
              </w:rPr>
              <w:t>单位</w:t>
            </w:r>
          </w:p>
        </w:tc>
        <w:tc>
          <w:tcPr>
            <w:tcW w:w="5040" w:type="dxa"/>
            <w:gridSpan w:val="3"/>
            <w:vAlign w:val="center"/>
          </w:tcPr>
          <w:p w14:paraId="35BA5F74">
            <w:pPr>
              <w:autoSpaceDE w:val="0"/>
              <w:autoSpaceDN w:val="0"/>
              <w:adjustRightInd w:val="0"/>
              <w:jc w:val="center"/>
              <w:rPr>
                <w:kern w:val="0"/>
                <w:sz w:val="18"/>
                <w:szCs w:val="18"/>
              </w:rPr>
            </w:pPr>
            <w:r>
              <w:rPr>
                <w:kern w:val="0"/>
                <w:sz w:val="18"/>
                <w:szCs w:val="18"/>
              </w:rPr>
              <w:t>指标</w:t>
            </w:r>
          </w:p>
        </w:tc>
      </w:tr>
      <w:tr w14:paraId="732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92" w:type="dxa"/>
            <w:vMerge w:val="continue"/>
            <w:vAlign w:val="center"/>
          </w:tcPr>
          <w:p w14:paraId="191A03DC">
            <w:pPr>
              <w:autoSpaceDE w:val="0"/>
              <w:autoSpaceDN w:val="0"/>
              <w:adjustRightInd w:val="0"/>
              <w:jc w:val="center"/>
              <w:rPr>
                <w:kern w:val="0"/>
                <w:sz w:val="18"/>
                <w:szCs w:val="18"/>
              </w:rPr>
            </w:pPr>
          </w:p>
        </w:tc>
        <w:tc>
          <w:tcPr>
            <w:tcW w:w="964" w:type="dxa"/>
            <w:vMerge w:val="continue"/>
            <w:vAlign w:val="center"/>
          </w:tcPr>
          <w:p w14:paraId="1612D3A2">
            <w:pPr>
              <w:autoSpaceDE w:val="0"/>
              <w:autoSpaceDN w:val="0"/>
              <w:adjustRightInd w:val="0"/>
              <w:jc w:val="center"/>
              <w:rPr>
                <w:kern w:val="0"/>
                <w:sz w:val="18"/>
                <w:szCs w:val="18"/>
              </w:rPr>
            </w:pPr>
          </w:p>
        </w:tc>
        <w:tc>
          <w:tcPr>
            <w:tcW w:w="1701" w:type="dxa"/>
            <w:vAlign w:val="center"/>
          </w:tcPr>
          <w:p w14:paraId="6B4DB6FB">
            <w:pPr>
              <w:autoSpaceDE w:val="0"/>
              <w:autoSpaceDN w:val="0"/>
              <w:adjustRightInd w:val="0"/>
              <w:jc w:val="center"/>
              <w:rPr>
                <w:kern w:val="0"/>
                <w:sz w:val="18"/>
                <w:szCs w:val="18"/>
              </w:rPr>
            </w:pPr>
            <w:r>
              <w:rPr>
                <w:kern w:val="0"/>
                <w:sz w:val="18"/>
                <w:szCs w:val="18"/>
              </w:rPr>
              <w:t>1级</w:t>
            </w:r>
          </w:p>
          <w:p w14:paraId="1F719FD1">
            <w:pPr>
              <w:autoSpaceDE w:val="0"/>
              <w:autoSpaceDN w:val="0"/>
              <w:adjustRightInd w:val="0"/>
              <w:jc w:val="center"/>
              <w:rPr>
                <w:kern w:val="0"/>
                <w:sz w:val="18"/>
                <w:szCs w:val="18"/>
              </w:rPr>
            </w:pPr>
            <w:r>
              <w:rPr>
                <w:rFonts w:hint="eastAsia"/>
                <w:kern w:val="0"/>
                <w:sz w:val="18"/>
                <w:szCs w:val="18"/>
              </w:rPr>
              <w:t>（前</w:t>
            </w:r>
            <w:r>
              <w:rPr>
                <w:kern w:val="0"/>
                <w:sz w:val="18"/>
                <w:szCs w:val="18"/>
              </w:rPr>
              <w:t>10%平均值</w:t>
            </w:r>
            <w:r>
              <w:rPr>
                <w:rFonts w:hint="eastAsia"/>
                <w:kern w:val="0"/>
                <w:sz w:val="18"/>
                <w:szCs w:val="18"/>
              </w:rPr>
              <w:t>）</w:t>
            </w:r>
          </w:p>
        </w:tc>
        <w:tc>
          <w:tcPr>
            <w:tcW w:w="1701" w:type="dxa"/>
            <w:vAlign w:val="center"/>
          </w:tcPr>
          <w:p w14:paraId="650CC64D">
            <w:pPr>
              <w:autoSpaceDE w:val="0"/>
              <w:autoSpaceDN w:val="0"/>
              <w:adjustRightInd w:val="0"/>
              <w:jc w:val="center"/>
              <w:rPr>
                <w:kern w:val="0"/>
                <w:sz w:val="18"/>
                <w:szCs w:val="18"/>
              </w:rPr>
            </w:pPr>
            <w:r>
              <w:rPr>
                <w:kern w:val="0"/>
                <w:sz w:val="18"/>
                <w:szCs w:val="18"/>
              </w:rPr>
              <w:t>2级</w:t>
            </w:r>
          </w:p>
          <w:p w14:paraId="36206CB6">
            <w:pPr>
              <w:autoSpaceDE w:val="0"/>
              <w:autoSpaceDN w:val="0"/>
              <w:adjustRightInd w:val="0"/>
              <w:jc w:val="center"/>
              <w:rPr>
                <w:kern w:val="0"/>
                <w:sz w:val="18"/>
                <w:szCs w:val="18"/>
              </w:rPr>
            </w:pPr>
            <w:r>
              <w:rPr>
                <w:rFonts w:hint="eastAsia"/>
                <w:kern w:val="0"/>
                <w:sz w:val="18"/>
                <w:szCs w:val="18"/>
              </w:rPr>
              <w:t>（前</w:t>
            </w:r>
            <w:r>
              <w:rPr>
                <w:kern w:val="0"/>
                <w:sz w:val="18"/>
                <w:szCs w:val="18"/>
              </w:rPr>
              <w:t>30%平均值</w:t>
            </w:r>
            <w:r>
              <w:rPr>
                <w:rFonts w:hint="eastAsia"/>
                <w:kern w:val="0"/>
                <w:sz w:val="18"/>
                <w:szCs w:val="18"/>
              </w:rPr>
              <w:t>）</w:t>
            </w:r>
          </w:p>
        </w:tc>
        <w:tc>
          <w:tcPr>
            <w:tcW w:w="1638" w:type="dxa"/>
            <w:vAlign w:val="center"/>
          </w:tcPr>
          <w:p w14:paraId="14F75BCF">
            <w:pPr>
              <w:autoSpaceDE w:val="0"/>
              <w:autoSpaceDN w:val="0"/>
              <w:adjustRightInd w:val="0"/>
              <w:jc w:val="center"/>
              <w:rPr>
                <w:kern w:val="0"/>
                <w:sz w:val="18"/>
                <w:szCs w:val="18"/>
              </w:rPr>
            </w:pPr>
            <w:r>
              <w:rPr>
                <w:kern w:val="0"/>
                <w:sz w:val="18"/>
                <w:szCs w:val="18"/>
              </w:rPr>
              <w:t>3级</w:t>
            </w:r>
          </w:p>
          <w:p w14:paraId="7089D7EF">
            <w:pPr>
              <w:autoSpaceDE w:val="0"/>
              <w:autoSpaceDN w:val="0"/>
              <w:adjustRightInd w:val="0"/>
              <w:jc w:val="center"/>
              <w:rPr>
                <w:kern w:val="0"/>
                <w:sz w:val="18"/>
                <w:szCs w:val="18"/>
              </w:rPr>
            </w:pPr>
            <w:r>
              <w:rPr>
                <w:rFonts w:hint="eastAsia"/>
                <w:kern w:val="0"/>
                <w:sz w:val="18"/>
                <w:szCs w:val="18"/>
              </w:rPr>
              <w:t>（前</w:t>
            </w:r>
            <w:r>
              <w:rPr>
                <w:kern w:val="0"/>
                <w:sz w:val="18"/>
                <w:szCs w:val="18"/>
              </w:rPr>
              <w:t>70%平均值</w:t>
            </w:r>
            <w:r>
              <w:rPr>
                <w:rFonts w:hint="eastAsia"/>
                <w:kern w:val="0"/>
                <w:sz w:val="18"/>
                <w:szCs w:val="18"/>
              </w:rPr>
              <w:t>）</w:t>
            </w:r>
          </w:p>
        </w:tc>
      </w:tr>
      <w:tr w14:paraId="14AC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92" w:type="dxa"/>
            <w:vAlign w:val="center"/>
          </w:tcPr>
          <w:p w14:paraId="3F2FCF0E">
            <w:pPr>
              <w:autoSpaceDE w:val="0"/>
              <w:autoSpaceDN w:val="0"/>
              <w:adjustRightInd w:val="0"/>
              <w:jc w:val="center"/>
              <w:rPr>
                <w:kern w:val="0"/>
                <w:sz w:val="18"/>
                <w:szCs w:val="18"/>
              </w:rPr>
            </w:pPr>
            <w:r>
              <w:rPr>
                <w:rFonts w:hint="eastAsia"/>
                <w:kern w:val="0"/>
                <w:sz w:val="18"/>
                <w:szCs w:val="18"/>
              </w:rPr>
              <w:t>单位乙烯产品碳排放</w:t>
            </w:r>
          </w:p>
        </w:tc>
        <w:tc>
          <w:tcPr>
            <w:tcW w:w="964" w:type="dxa"/>
            <w:vAlign w:val="center"/>
          </w:tcPr>
          <w:p w14:paraId="282725ED">
            <w:pPr>
              <w:autoSpaceDE w:val="0"/>
              <w:autoSpaceDN w:val="0"/>
              <w:adjustRightInd w:val="0"/>
              <w:jc w:val="center"/>
              <w:rPr>
                <w:kern w:val="0"/>
                <w:sz w:val="18"/>
                <w:szCs w:val="18"/>
              </w:rPr>
            </w:pPr>
            <w:r>
              <w:rPr>
                <w:sz w:val="18"/>
                <w:szCs w:val="18"/>
              </w:rPr>
              <w:t>t</w:t>
            </w:r>
            <w:r>
              <w:rPr>
                <w:sz w:val="18"/>
                <w:szCs w:val="18"/>
                <w:vertAlign w:val="subscript"/>
              </w:rPr>
              <w:t>CO2</w:t>
            </w:r>
            <w:r>
              <w:rPr>
                <w:sz w:val="18"/>
                <w:szCs w:val="18"/>
              </w:rPr>
              <w:t>/t</w:t>
            </w:r>
            <w:r>
              <w:rPr>
                <w:rFonts w:hint="eastAsia"/>
                <w:sz w:val="18"/>
                <w:szCs w:val="18"/>
                <w:vertAlign w:val="subscript"/>
              </w:rPr>
              <w:t>乙烯</w:t>
            </w:r>
            <w:r>
              <w:rPr>
                <w:kern w:val="0"/>
                <w:sz w:val="18"/>
                <w:szCs w:val="18"/>
              </w:rPr>
              <w:t xml:space="preserve"> </w:t>
            </w:r>
          </w:p>
        </w:tc>
        <w:tc>
          <w:tcPr>
            <w:tcW w:w="1701" w:type="dxa"/>
            <w:vAlign w:val="center"/>
          </w:tcPr>
          <w:p w14:paraId="00E6C6C6">
            <w:pPr>
              <w:autoSpaceDE w:val="0"/>
              <w:autoSpaceDN w:val="0"/>
              <w:adjustRightInd w:val="0"/>
              <w:jc w:val="center"/>
              <w:rPr>
                <w:kern w:val="0"/>
                <w:sz w:val="18"/>
                <w:szCs w:val="18"/>
              </w:rPr>
            </w:pPr>
            <w:r>
              <w:rPr>
                <w:kern w:val="0"/>
                <w:sz w:val="18"/>
                <w:szCs w:val="18"/>
              </w:rPr>
              <w:t>1.36</w:t>
            </w:r>
          </w:p>
        </w:tc>
        <w:tc>
          <w:tcPr>
            <w:tcW w:w="1701" w:type="dxa"/>
            <w:vAlign w:val="center"/>
          </w:tcPr>
          <w:p w14:paraId="30644CF5">
            <w:pPr>
              <w:autoSpaceDE w:val="0"/>
              <w:autoSpaceDN w:val="0"/>
              <w:adjustRightInd w:val="0"/>
              <w:jc w:val="center"/>
              <w:rPr>
                <w:kern w:val="0"/>
                <w:sz w:val="18"/>
                <w:szCs w:val="18"/>
              </w:rPr>
            </w:pPr>
            <w:r>
              <w:rPr>
                <w:kern w:val="0"/>
                <w:sz w:val="18"/>
                <w:szCs w:val="18"/>
              </w:rPr>
              <w:t>1.44</w:t>
            </w:r>
          </w:p>
        </w:tc>
        <w:tc>
          <w:tcPr>
            <w:tcW w:w="1638" w:type="dxa"/>
            <w:vAlign w:val="center"/>
          </w:tcPr>
          <w:p w14:paraId="12E9213C">
            <w:pPr>
              <w:autoSpaceDE w:val="0"/>
              <w:autoSpaceDN w:val="0"/>
              <w:adjustRightInd w:val="0"/>
              <w:jc w:val="center"/>
              <w:rPr>
                <w:kern w:val="0"/>
                <w:sz w:val="18"/>
                <w:szCs w:val="18"/>
              </w:rPr>
            </w:pPr>
            <w:r>
              <w:rPr>
                <w:kern w:val="0"/>
                <w:sz w:val="18"/>
                <w:szCs w:val="18"/>
              </w:rPr>
              <w:t>1.55</w:t>
            </w:r>
          </w:p>
        </w:tc>
      </w:tr>
      <w:tr w14:paraId="7C01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92" w:type="dxa"/>
            <w:vAlign w:val="center"/>
          </w:tcPr>
          <w:p w14:paraId="3F435990">
            <w:pPr>
              <w:autoSpaceDE w:val="0"/>
              <w:autoSpaceDN w:val="0"/>
              <w:adjustRightInd w:val="0"/>
              <w:jc w:val="center"/>
              <w:rPr>
                <w:kern w:val="0"/>
                <w:sz w:val="18"/>
                <w:szCs w:val="18"/>
              </w:rPr>
            </w:pPr>
            <w:r>
              <w:rPr>
                <w:rFonts w:hint="eastAsia"/>
                <w:kern w:val="0"/>
                <w:sz w:val="18"/>
                <w:szCs w:val="18"/>
              </w:rPr>
              <w:t>单位双烯产品碳排放</w:t>
            </w:r>
          </w:p>
        </w:tc>
        <w:tc>
          <w:tcPr>
            <w:tcW w:w="964" w:type="dxa"/>
            <w:vAlign w:val="center"/>
          </w:tcPr>
          <w:p w14:paraId="15CFCA9C">
            <w:pPr>
              <w:autoSpaceDE w:val="0"/>
              <w:autoSpaceDN w:val="0"/>
              <w:adjustRightInd w:val="0"/>
              <w:jc w:val="center"/>
              <w:rPr>
                <w:sz w:val="18"/>
                <w:szCs w:val="18"/>
              </w:rPr>
            </w:pPr>
            <w:r>
              <w:rPr>
                <w:sz w:val="18"/>
                <w:szCs w:val="18"/>
              </w:rPr>
              <w:t>t</w:t>
            </w:r>
            <w:r>
              <w:rPr>
                <w:sz w:val="18"/>
                <w:szCs w:val="18"/>
                <w:vertAlign w:val="subscript"/>
              </w:rPr>
              <w:t>CO2</w:t>
            </w:r>
            <w:r>
              <w:rPr>
                <w:sz w:val="18"/>
                <w:szCs w:val="18"/>
              </w:rPr>
              <w:t>/t</w:t>
            </w:r>
            <w:r>
              <w:rPr>
                <w:rFonts w:hint="eastAsia"/>
                <w:sz w:val="18"/>
                <w:szCs w:val="18"/>
                <w:vertAlign w:val="subscript"/>
              </w:rPr>
              <w:t>双烯</w:t>
            </w:r>
          </w:p>
        </w:tc>
        <w:tc>
          <w:tcPr>
            <w:tcW w:w="1701" w:type="dxa"/>
            <w:vAlign w:val="center"/>
          </w:tcPr>
          <w:p w14:paraId="5F9C8402">
            <w:pPr>
              <w:autoSpaceDE w:val="0"/>
              <w:autoSpaceDN w:val="0"/>
              <w:adjustRightInd w:val="0"/>
              <w:jc w:val="center"/>
              <w:rPr>
                <w:kern w:val="0"/>
                <w:sz w:val="18"/>
                <w:szCs w:val="18"/>
              </w:rPr>
            </w:pPr>
            <w:r>
              <w:rPr>
                <w:kern w:val="0"/>
                <w:sz w:val="18"/>
                <w:szCs w:val="18"/>
              </w:rPr>
              <w:t>0.91</w:t>
            </w:r>
          </w:p>
        </w:tc>
        <w:tc>
          <w:tcPr>
            <w:tcW w:w="1701" w:type="dxa"/>
            <w:vAlign w:val="center"/>
          </w:tcPr>
          <w:p w14:paraId="1281298E">
            <w:pPr>
              <w:autoSpaceDE w:val="0"/>
              <w:autoSpaceDN w:val="0"/>
              <w:adjustRightInd w:val="0"/>
              <w:jc w:val="center"/>
              <w:rPr>
                <w:kern w:val="0"/>
                <w:sz w:val="18"/>
                <w:szCs w:val="18"/>
              </w:rPr>
            </w:pPr>
            <w:r>
              <w:rPr>
                <w:kern w:val="0"/>
                <w:sz w:val="18"/>
                <w:szCs w:val="18"/>
              </w:rPr>
              <w:t>0.97</w:t>
            </w:r>
          </w:p>
        </w:tc>
        <w:tc>
          <w:tcPr>
            <w:tcW w:w="1638" w:type="dxa"/>
            <w:vAlign w:val="center"/>
          </w:tcPr>
          <w:p w14:paraId="0023E47D">
            <w:pPr>
              <w:autoSpaceDE w:val="0"/>
              <w:autoSpaceDN w:val="0"/>
              <w:adjustRightInd w:val="0"/>
              <w:jc w:val="center"/>
              <w:rPr>
                <w:kern w:val="0"/>
                <w:sz w:val="18"/>
                <w:szCs w:val="18"/>
              </w:rPr>
            </w:pPr>
            <w:r>
              <w:rPr>
                <w:kern w:val="0"/>
                <w:sz w:val="18"/>
                <w:szCs w:val="18"/>
              </w:rPr>
              <w:t>1.07</w:t>
            </w:r>
          </w:p>
        </w:tc>
      </w:tr>
      <w:tr w14:paraId="4C44E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92" w:type="dxa"/>
            <w:vAlign w:val="center"/>
          </w:tcPr>
          <w:p w14:paraId="5495B0FC">
            <w:pPr>
              <w:autoSpaceDE w:val="0"/>
              <w:autoSpaceDN w:val="0"/>
              <w:adjustRightInd w:val="0"/>
              <w:jc w:val="center"/>
              <w:rPr>
                <w:kern w:val="0"/>
                <w:sz w:val="18"/>
                <w:szCs w:val="18"/>
              </w:rPr>
            </w:pPr>
            <w:r>
              <w:rPr>
                <w:rFonts w:hint="eastAsia"/>
                <w:kern w:val="0"/>
                <w:sz w:val="18"/>
                <w:szCs w:val="18"/>
              </w:rPr>
              <w:t>单位高附加值产品碳排放</w:t>
            </w:r>
          </w:p>
        </w:tc>
        <w:tc>
          <w:tcPr>
            <w:tcW w:w="964" w:type="dxa"/>
            <w:vAlign w:val="center"/>
          </w:tcPr>
          <w:p w14:paraId="0DB3A644">
            <w:pPr>
              <w:autoSpaceDE w:val="0"/>
              <w:autoSpaceDN w:val="0"/>
              <w:adjustRightInd w:val="0"/>
              <w:jc w:val="center"/>
              <w:rPr>
                <w:sz w:val="18"/>
                <w:szCs w:val="18"/>
              </w:rPr>
            </w:pPr>
            <w:r>
              <w:rPr>
                <w:sz w:val="18"/>
                <w:szCs w:val="18"/>
              </w:rPr>
              <w:t>t</w:t>
            </w:r>
            <w:r>
              <w:rPr>
                <w:sz w:val="18"/>
                <w:szCs w:val="18"/>
                <w:vertAlign w:val="subscript"/>
              </w:rPr>
              <w:t>CO2</w:t>
            </w:r>
            <w:r>
              <w:rPr>
                <w:sz w:val="18"/>
                <w:szCs w:val="18"/>
              </w:rPr>
              <w:t>/t</w:t>
            </w:r>
            <w:r>
              <w:rPr>
                <w:rFonts w:hint="eastAsia"/>
                <w:sz w:val="18"/>
                <w:szCs w:val="18"/>
                <w:vertAlign w:val="subscript"/>
              </w:rPr>
              <w:t>高附</w:t>
            </w:r>
          </w:p>
        </w:tc>
        <w:tc>
          <w:tcPr>
            <w:tcW w:w="1701" w:type="dxa"/>
            <w:vAlign w:val="center"/>
          </w:tcPr>
          <w:p w14:paraId="3FFE35B3">
            <w:pPr>
              <w:autoSpaceDE w:val="0"/>
              <w:autoSpaceDN w:val="0"/>
              <w:adjustRightInd w:val="0"/>
              <w:jc w:val="center"/>
              <w:rPr>
                <w:kern w:val="0"/>
                <w:sz w:val="18"/>
                <w:szCs w:val="18"/>
              </w:rPr>
            </w:pPr>
            <w:r>
              <w:rPr>
                <w:kern w:val="0"/>
                <w:sz w:val="18"/>
                <w:szCs w:val="18"/>
              </w:rPr>
              <w:t>0.60</w:t>
            </w:r>
          </w:p>
        </w:tc>
        <w:tc>
          <w:tcPr>
            <w:tcW w:w="1701" w:type="dxa"/>
            <w:vAlign w:val="center"/>
          </w:tcPr>
          <w:p w14:paraId="165EFA4F">
            <w:pPr>
              <w:autoSpaceDE w:val="0"/>
              <w:autoSpaceDN w:val="0"/>
              <w:adjustRightInd w:val="0"/>
              <w:jc w:val="center"/>
              <w:rPr>
                <w:kern w:val="0"/>
                <w:sz w:val="18"/>
                <w:szCs w:val="18"/>
              </w:rPr>
            </w:pPr>
            <w:r>
              <w:rPr>
                <w:kern w:val="0"/>
                <w:sz w:val="18"/>
                <w:szCs w:val="18"/>
              </w:rPr>
              <w:t>0.67</w:t>
            </w:r>
          </w:p>
        </w:tc>
        <w:tc>
          <w:tcPr>
            <w:tcW w:w="1638" w:type="dxa"/>
            <w:vAlign w:val="center"/>
          </w:tcPr>
          <w:p w14:paraId="54B559DA">
            <w:pPr>
              <w:autoSpaceDE w:val="0"/>
              <w:autoSpaceDN w:val="0"/>
              <w:adjustRightInd w:val="0"/>
              <w:jc w:val="center"/>
              <w:rPr>
                <w:kern w:val="0"/>
                <w:sz w:val="18"/>
                <w:szCs w:val="18"/>
              </w:rPr>
            </w:pPr>
            <w:r>
              <w:rPr>
                <w:kern w:val="0"/>
                <w:sz w:val="18"/>
                <w:szCs w:val="18"/>
              </w:rPr>
              <w:t>0.77</w:t>
            </w:r>
          </w:p>
        </w:tc>
      </w:tr>
    </w:tbl>
    <w:p w14:paraId="33A305D9">
      <w:pPr>
        <w:pStyle w:val="17"/>
        <w:spacing w:line="240" w:lineRule="auto"/>
        <w:ind w:firstLine="0" w:firstLineChars="0"/>
        <w:jc w:val="left"/>
        <w:rPr>
          <w:sz w:val="18"/>
          <w:szCs w:val="18"/>
        </w:rPr>
      </w:pPr>
      <w:r>
        <w:rPr>
          <w:rFonts w:hint="eastAsia"/>
          <w:sz w:val="18"/>
          <w:szCs w:val="18"/>
        </w:rPr>
        <w:t>注：为统一口径，电力排放因子统一按0</w:t>
      </w:r>
      <w:r>
        <w:rPr>
          <w:sz w:val="18"/>
          <w:szCs w:val="18"/>
        </w:rPr>
        <w:t>.5568tCO</w:t>
      </w:r>
      <w:r>
        <w:rPr>
          <w:sz w:val="18"/>
          <w:szCs w:val="18"/>
          <w:vertAlign w:val="subscript"/>
        </w:rPr>
        <w:t>2</w:t>
      </w:r>
      <w:r>
        <w:rPr>
          <w:rFonts w:hint="eastAsia"/>
          <w:sz w:val="18"/>
          <w:szCs w:val="18"/>
        </w:rPr>
        <w:t>/</w:t>
      </w:r>
      <w:r>
        <w:rPr>
          <w:sz w:val="18"/>
          <w:szCs w:val="18"/>
        </w:rPr>
        <w:t>MWh</w:t>
      </w:r>
      <w:r>
        <w:rPr>
          <w:rFonts w:hint="eastAsia"/>
          <w:sz w:val="18"/>
          <w:szCs w:val="18"/>
        </w:rPr>
        <w:t>计。</w:t>
      </w:r>
    </w:p>
    <w:p w14:paraId="6A8AA49A">
      <w:pPr>
        <w:pStyle w:val="3"/>
        <w:spacing w:before="156" w:after="156"/>
      </w:pPr>
      <w:r>
        <w:rPr>
          <w:rFonts w:hint="eastAsia"/>
        </w:rPr>
        <w:t>乙烯装置减污降碳措施</w:t>
      </w:r>
    </w:p>
    <w:p w14:paraId="7A2CF67C">
      <w:pPr>
        <w:pStyle w:val="17"/>
        <w:spacing w:after="156"/>
        <w:ind w:firstLine="480"/>
        <w:rPr>
          <w:highlight w:val="yellow"/>
        </w:rPr>
      </w:pPr>
      <w:r>
        <w:rPr>
          <w:rFonts w:hint="eastAsia"/>
        </w:rPr>
        <w:t>本次调研</w:t>
      </w:r>
      <w:r>
        <w:t>26家</w:t>
      </w:r>
      <w:r>
        <w:rPr>
          <w:rFonts w:hint="eastAsia"/>
        </w:rPr>
        <w:t>蒸汽裂解</w:t>
      </w:r>
      <w:r>
        <w:t>乙烯生产企业</w:t>
      </w:r>
      <w:r>
        <w:rPr>
          <w:rFonts w:hint="eastAsia"/>
        </w:rPr>
        <w:t>，采用较普遍的降碳措施为：裂解炉空气预热，以减少燃料消耗量、从而降低燃料燃烧碳排放。其中，中石化扬子石化有限公司、扬子巴斯夫有限责任公司两家企业采用急冷水预热空气，中石油抚顺石化分公司、中石油独山子石化分公司、中石油独山子石化塔里木乙烷裂解、浙江石化4家企业采用裂解炉烟气预热空气。根据预热空气所需热量折换成消耗的天然气量，初步估计1</w:t>
      </w:r>
      <w:r>
        <w:t>00</w:t>
      </w:r>
      <w:r>
        <w:rPr>
          <w:rFonts w:hint="eastAsia"/>
        </w:rPr>
        <w:t>万吨/年乙烯装置每年可减少约</w:t>
      </w:r>
      <w:r>
        <w:t>6万吨二氧化碳排放。</w:t>
      </w:r>
    </w:p>
    <w:p w14:paraId="432501F4">
      <w:pPr>
        <w:pStyle w:val="17"/>
        <w:spacing w:after="156"/>
        <w:ind w:firstLine="480"/>
      </w:pPr>
      <w:r>
        <w:rPr>
          <w:rFonts w:hint="eastAsia"/>
        </w:rPr>
        <w:t>2</w:t>
      </w:r>
      <w:r>
        <w:t>022</w:t>
      </w:r>
      <w:r>
        <w:rPr>
          <w:rFonts w:hint="eastAsia"/>
        </w:rPr>
        <w:t>年，巴斯夫（广东）一体化项目乙烯项目首次采用电力驱动代替传统蒸汽驱动乙烯装置“三大”主压缩机，预计可减少乙烯装置碳排放6</w:t>
      </w:r>
      <w:r>
        <w:t>0</w:t>
      </w:r>
      <w:r>
        <w:rPr>
          <w:rFonts w:hint="eastAsia"/>
        </w:rPr>
        <w:t>~</w:t>
      </w:r>
      <w:r>
        <w:t>70</w:t>
      </w:r>
      <w:r>
        <w:rPr>
          <w:rFonts w:hint="eastAsia"/>
        </w:rPr>
        <w:t>万吨/年（按绿电碳排放为零计）。之后美孚大亚湾乙烯在设计中裂解气压缩机、乙烯压缩机也采用电力驱动，中石油独山子石化塔里木乙烯二期裂解气压缩机、乙烯压缩机、丙烯压缩机全部采用电力驱动。“电气化率”提高已成为新建乙烯装置的发展趋势，在未来绿电碳排放以零或较小电力系数考虑的情况下，成为减污降碳的重要措施。</w:t>
      </w:r>
    </w:p>
    <w:p w14:paraId="7DC8BE7C">
      <w:pPr>
        <w:pStyle w:val="2"/>
        <w:spacing w:before="156" w:after="156"/>
      </w:pPr>
      <w:r>
        <w:rPr>
          <w:rFonts w:hint="eastAsia"/>
        </w:rPr>
        <w:t>标准编制的基本原则和技术路线</w:t>
      </w:r>
    </w:p>
    <w:p w14:paraId="19409AE1">
      <w:pPr>
        <w:pStyle w:val="3"/>
        <w:spacing w:before="156" w:after="156"/>
      </w:pPr>
      <w:r>
        <w:rPr>
          <w:rFonts w:hint="eastAsia"/>
        </w:rPr>
        <w:t>标准编制的基本原则</w:t>
      </w:r>
    </w:p>
    <w:p w14:paraId="5E8258B7">
      <w:pPr>
        <w:pStyle w:val="17"/>
        <w:ind w:firstLine="480"/>
      </w:pPr>
      <w:r>
        <w:rPr>
          <w:rFonts w:hint="eastAsia"/>
        </w:rPr>
        <w:t>《乙烯装置碳排放基准》团体标准制定的目的是反应乙烯装置碳排放水平现状，保证标准的科学性和实用性，引领乙烯工业绿色低碳发展。</w:t>
      </w:r>
    </w:p>
    <w:p w14:paraId="49926069">
      <w:pPr>
        <w:pStyle w:val="17"/>
        <w:ind w:firstLine="480"/>
      </w:pPr>
      <w:r>
        <w:rPr>
          <w:rFonts w:hint="eastAsia"/>
        </w:rPr>
        <w:t>编制时遵循了下列原则：</w:t>
      </w:r>
    </w:p>
    <w:p w14:paraId="0F89869F">
      <w:pPr>
        <w:pStyle w:val="17"/>
        <w:ind w:firstLine="480"/>
      </w:pPr>
      <w:r>
        <w:rPr>
          <w:rFonts w:hint="eastAsia"/>
        </w:rPr>
        <w:t>（</w:t>
      </w:r>
      <w:r>
        <w:rPr>
          <w:rFonts w:cs="Times New Roman"/>
        </w:rPr>
        <w:t>1</w:t>
      </w:r>
      <w:r>
        <w:rPr>
          <w:rFonts w:hint="eastAsia"/>
        </w:rPr>
        <w:t>）充分考虑我国乙烯工业碳排放水平和特点，以及装置发展的需求；</w:t>
      </w:r>
      <w:r>
        <w:t xml:space="preserve"> </w:t>
      </w:r>
    </w:p>
    <w:p w14:paraId="29FE3983">
      <w:pPr>
        <w:pStyle w:val="17"/>
        <w:ind w:firstLine="480"/>
      </w:pPr>
      <w:r>
        <w:rPr>
          <w:rFonts w:hint="eastAsia"/>
        </w:rPr>
        <w:t>（</w:t>
      </w:r>
      <w:r>
        <w:rPr>
          <w:rFonts w:cs="Times New Roman"/>
        </w:rPr>
        <w:t>2</w:t>
      </w:r>
      <w:r>
        <w:rPr>
          <w:rFonts w:hint="eastAsia"/>
        </w:rPr>
        <w:t>）符合国家乙烯工业相关政策。</w:t>
      </w:r>
    </w:p>
    <w:p w14:paraId="18F10F77">
      <w:pPr>
        <w:pStyle w:val="3"/>
        <w:spacing w:before="156" w:after="156"/>
      </w:pPr>
      <w:r>
        <w:rPr>
          <w:rFonts w:hint="eastAsia"/>
        </w:rPr>
        <w:t>标准编制的技术路线</w:t>
      </w:r>
    </w:p>
    <w:p w14:paraId="72EAF689">
      <w:pPr>
        <w:pStyle w:val="17"/>
        <w:ind w:firstLine="480"/>
      </w:pPr>
      <w:r>
        <w:rPr>
          <w:rFonts w:hint="eastAsia"/>
        </w:rPr>
        <w:t>本标准对现有乙烯装置碳排放数据充分分调研的基础上，开展了企业碳减排措施等方面的研究工作，确定标准框架和主要技术要求，并按照标准编制的要求形成征求意见稿。标准编制技术路线如图</w:t>
      </w:r>
      <w:r>
        <w:t>4</w:t>
      </w:r>
      <w:r>
        <w:rPr>
          <w:rFonts w:hint="eastAsia"/>
        </w:rPr>
        <w:t>。</w:t>
      </w:r>
    </w:p>
    <w:p w14:paraId="3B00C95A">
      <w:pPr>
        <w:pStyle w:val="17"/>
        <w:ind w:firstLine="480"/>
      </w:pPr>
      <w:r>
        <w:drawing>
          <wp:inline distT="0" distB="0" distL="0" distR="0">
            <wp:extent cx="4366895" cy="6856095"/>
            <wp:effectExtent l="0" t="0" r="0" b="190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383026" cy="6881003"/>
                    </a:xfrm>
                    <a:prstGeom prst="rect">
                      <a:avLst/>
                    </a:prstGeom>
                    <a:noFill/>
                    <a:ln>
                      <a:noFill/>
                    </a:ln>
                  </pic:spPr>
                </pic:pic>
              </a:graphicData>
            </a:graphic>
          </wp:inline>
        </w:drawing>
      </w:r>
    </w:p>
    <w:p w14:paraId="2839449C">
      <w:pPr>
        <w:pStyle w:val="24"/>
        <w:spacing w:after="156"/>
      </w:pPr>
      <w:r>
        <w:rPr>
          <w:rFonts w:hint="eastAsia"/>
        </w:rPr>
        <w:t>图</w:t>
      </w:r>
      <w:r>
        <w:t xml:space="preserve">4  </w:t>
      </w:r>
      <w:r>
        <w:rPr>
          <w:rFonts w:hint="eastAsia"/>
        </w:rPr>
        <w:t>技术图线图</w:t>
      </w:r>
    </w:p>
    <w:p w14:paraId="3809D004">
      <w:pPr>
        <w:pStyle w:val="2"/>
        <w:spacing w:before="156" w:after="156"/>
      </w:pPr>
      <w:r>
        <w:rPr>
          <w:rFonts w:hint="eastAsia"/>
        </w:rPr>
        <w:t>标准主要编制内容和编制说明</w:t>
      </w:r>
    </w:p>
    <w:p w14:paraId="6B7DFDE5">
      <w:pPr>
        <w:pStyle w:val="3"/>
        <w:spacing w:before="156" w:after="156"/>
      </w:pPr>
      <w:r>
        <w:rPr>
          <w:rFonts w:hint="eastAsia"/>
        </w:rPr>
        <w:t>适用范围</w:t>
      </w:r>
    </w:p>
    <w:p w14:paraId="5B822F3A">
      <w:pPr>
        <w:pStyle w:val="17"/>
        <w:ind w:firstLine="480"/>
      </w:pPr>
      <w:r>
        <w:rPr>
          <w:rFonts w:hint="eastAsia"/>
        </w:rPr>
        <w:t>本标准适用于</w:t>
      </w:r>
      <w:r>
        <w:rPr>
          <w:rFonts w:cs="Times New Roman"/>
        </w:rPr>
        <w:t>我国现有的</w:t>
      </w:r>
      <w:r>
        <w:rPr>
          <w:rFonts w:hint="eastAsia" w:cs="Times New Roman"/>
        </w:rPr>
        <w:t>乙烯装置</w:t>
      </w:r>
      <w:r>
        <w:rPr>
          <w:rFonts w:hint="eastAsia"/>
        </w:rPr>
        <w:t>碳排放量的计算、考核，以及新建或改（扩）建乙烯装置的碳排放控制。</w:t>
      </w:r>
    </w:p>
    <w:p w14:paraId="2C5AB9C9">
      <w:pPr>
        <w:pStyle w:val="3"/>
        <w:spacing w:before="156" w:after="156"/>
      </w:pPr>
      <w:r>
        <w:rPr>
          <w:rFonts w:hint="eastAsia"/>
        </w:rPr>
        <w:t>术语和定义</w:t>
      </w:r>
    </w:p>
    <w:p w14:paraId="2F961535">
      <w:pPr>
        <w:pStyle w:val="17"/>
        <w:ind w:firstLine="480"/>
      </w:pPr>
      <w:r>
        <w:rPr>
          <w:rFonts w:hint="eastAsia"/>
        </w:rPr>
        <w:t>本标准参照</w:t>
      </w:r>
      <w:r>
        <w:rPr>
          <w:rFonts w:hint="eastAsia" w:cs="Times New Roman"/>
        </w:rPr>
        <w:t>《</w:t>
      </w:r>
      <w:r>
        <w:rPr>
          <w:rFonts w:cs="Times New Roman"/>
        </w:rPr>
        <w:t>炼油单位产品能源消耗限额</w:t>
      </w:r>
      <w:r>
        <w:rPr>
          <w:rFonts w:hint="eastAsia" w:cs="Times New Roman"/>
        </w:rPr>
        <w:t>》（</w:t>
      </w:r>
      <w:r>
        <w:rPr>
          <w:rFonts w:cs="Times New Roman"/>
        </w:rPr>
        <w:t>GB 30251</w:t>
      </w:r>
      <w:r>
        <w:rPr>
          <w:rFonts w:hint="eastAsia" w:cs="Times New Roman"/>
        </w:rPr>
        <w:t>-</w:t>
      </w:r>
      <w:r>
        <w:rPr>
          <w:rFonts w:cs="Times New Roman"/>
        </w:rPr>
        <w:t>2024</w:t>
      </w:r>
      <w:r>
        <w:rPr>
          <w:rFonts w:hint="eastAsia" w:cs="Times New Roman"/>
        </w:rPr>
        <w:t>）、</w:t>
      </w:r>
      <w:r>
        <w:rPr>
          <w:rFonts w:hint="eastAsia"/>
        </w:rPr>
        <w:t>《工业企业温室气体排放核算和报告通则》（</w:t>
      </w:r>
      <w:r>
        <w:t>GB/T 32150-2015</w:t>
      </w:r>
      <w:r>
        <w:rPr>
          <w:rFonts w:hint="eastAsia"/>
        </w:rPr>
        <w:t>）、《碳排放核算与报告要求</w:t>
      </w:r>
      <w:r>
        <w:t xml:space="preserve"> 第15部分：石油化工企业</w:t>
      </w:r>
      <w:r>
        <w:rPr>
          <w:rFonts w:hint="eastAsia"/>
        </w:rPr>
        <w:t>》（</w:t>
      </w:r>
      <w:r>
        <w:t>GB∕T 32151.15</w:t>
      </w:r>
      <w:r>
        <w:rPr>
          <w:rFonts w:hint="eastAsia"/>
        </w:rPr>
        <w:t>-</w:t>
      </w:r>
      <w:r>
        <w:t>2023）</w:t>
      </w:r>
      <w:r>
        <w:rPr>
          <w:rFonts w:hint="eastAsia"/>
        </w:rPr>
        <w:t>、上海市《乙烯产品碳排放指标》（</w:t>
      </w:r>
      <w:r>
        <w:t>DB31/T 1144-2019</w:t>
      </w:r>
      <w:r>
        <w:rPr>
          <w:rFonts w:hint="eastAsia"/>
        </w:rPr>
        <w:t>）、</w:t>
      </w:r>
      <w:r>
        <w:t>Commission Delegated Regulation (EU) 2019/331 of 19 December 2018</w:t>
      </w:r>
      <w:r>
        <w:rPr>
          <w:rFonts w:hint="eastAsia"/>
        </w:rPr>
        <w:t>等文件中的术语和定义。</w:t>
      </w:r>
    </w:p>
    <w:p w14:paraId="2BB86D25">
      <w:pPr>
        <w:pStyle w:val="3"/>
        <w:spacing w:before="156" w:after="156"/>
      </w:pPr>
      <w:r>
        <w:rPr>
          <w:rFonts w:hint="eastAsia"/>
        </w:rPr>
        <w:t>碳排放指标及取值方法</w:t>
      </w:r>
    </w:p>
    <w:p w14:paraId="5D3FE494">
      <w:pPr>
        <w:pStyle w:val="17"/>
        <w:ind w:firstLine="480"/>
      </w:pPr>
      <w:r>
        <w:rPr>
          <w:rFonts w:hint="eastAsia"/>
        </w:rPr>
        <w:t>此部分给出“单位乙烯产品碳排放指标”、“单位双烯产品碳排放指标”和“单位高附加值产品碳排放指标”三类乙烯装置碳排放强度限额的等级和指标值。</w:t>
      </w:r>
    </w:p>
    <w:p w14:paraId="34F4FBAA">
      <w:pPr>
        <w:pStyle w:val="17"/>
        <w:ind w:firstLine="480"/>
      </w:pPr>
      <w:bookmarkStart w:id="6" w:name="_Hlk120562397"/>
      <w:r>
        <w:rPr>
          <w:rFonts w:hint="eastAsia"/>
        </w:rPr>
        <w:t>综合欧盟碳市场基准取值，以及重点行业建设项目温室气体排放环境影响评价技术体系碳排放水平评价分级等原则，根据调研样本数据，划定前</w:t>
      </w:r>
      <w:r>
        <w:t>10%平均值</w:t>
      </w:r>
      <w:r>
        <w:rPr>
          <w:rFonts w:hint="eastAsia"/>
        </w:rPr>
        <w:t>、前</w:t>
      </w:r>
      <w:r>
        <w:t>30%平均值</w:t>
      </w:r>
      <w:r>
        <w:rPr>
          <w:rFonts w:hint="eastAsia"/>
        </w:rPr>
        <w:t>和前</w:t>
      </w:r>
      <w:r>
        <w:t>70%平均值</w:t>
      </w:r>
      <w:r>
        <w:rPr>
          <w:rFonts w:hint="eastAsia"/>
        </w:rPr>
        <w:t>对应的单位产品碳排放强度分别为“1级值”、“</w:t>
      </w:r>
      <w:r>
        <w:t>2</w:t>
      </w:r>
      <w:r>
        <w:rPr>
          <w:rFonts w:hint="eastAsia"/>
        </w:rPr>
        <w:t>级值”、“</w:t>
      </w:r>
      <w:r>
        <w:t>3</w:t>
      </w:r>
      <w:r>
        <w:rPr>
          <w:rFonts w:hint="eastAsia"/>
        </w:rPr>
        <w:t>级值”。</w:t>
      </w:r>
      <w:bookmarkEnd w:id="6"/>
    </w:p>
    <w:p w14:paraId="19E36980">
      <w:pPr>
        <w:pStyle w:val="17"/>
        <w:ind w:firstLine="480"/>
      </w:pPr>
      <w:r>
        <w:rPr>
          <w:rFonts w:hint="eastAsia"/>
        </w:rPr>
        <w:t>考虑到本次调研样本数据中轻烃为原料较少且碳排放强度与其它石脑油原料差距不明显，本次碳排放指标暂未区分原料类型。</w:t>
      </w:r>
    </w:p>
    <w:p w14:paraId="2B2E7AE9">
      <w:pPr>
        <w:pStyle w:val="3"/>
        <w:spacing w:before="156" w:after="156"/>
      </w:pPr>
      <w:r>
        <w:rPr>
          <w:rFonts w:hint="eastAsia"/>
        </w:rPr>
        <w:t>核算边界和计算方法</w:t>
      </w:r>
    </w:p>
    <w:p w14:paraId="312DFD9C">
      <w:pPr>
        <w:pStyle w:val="17"/>
        <w:ind w:firstLine="480"/>
      </w:pPr>
      <w:r>
        <w:rPr>
          <w:rFonts w:hint="eastAsia"/>
        </w:rPr>
        <w:t>本部分参考《炼油行业单位产品能源消耗限额》（</w:t>
      </w:r>
      <w:r>
        <w:t>GB 30251-2024</w:t>
      </w:r>
      <w:r>
        <w:rPr>
          <w:rFonts w:hint="eastAsia"/>
        </w:rPr>
        <w:t>）中乙烯生产系统能源统计界区，确定碳排放核算边界，并在附录中给出了核算边界示意图。核算方法采用《碳排放核算与报告要求</w:t>
      </w:r>
      <w:r>
        <w:t xml:space="preserve"> 第15部分：石油化工企业</w:t>
      </w:r>
      <w:r>
        <w:rPr>
          <w:rFonts w:hint="eastAsia"/>
        </w:rPr>
        <w:t>》（</w:t>
      </w:r>
      <w:r>
        <w:t>GB/T 32151.15-2023</w:t>
      </w:r>
      <w:r>
        <w:rPr>
          <w:rFonts w:hint="eastAsia"/>
        </w:rPr>
        <w:t xml:space="preserve">）中碳排放量核算方法。 </w:t>
      </w:r>
    </w:p>
    <w:p w14:paraId="4C670FA8">
      <w:pPr>
        <w:pStyle w:val="3"/>
        <w:spacing w:before="156" w:after="156"/>
      </w:pPr>
      <w:r>
        <w:rPr>
          <w:rFonts w:hint="eastAsia"/>
        </w:rPr>
        <w:t>降碳管理及措施</w:t>
      </w:r>
    </w:p>
    <w:p w14:paraId="28D06C89">
      <w:pPr>
        <w:pStyle w:val="17"/>
        <w:ind w:firstLine="480"/>
      </w:pPr>
      <w:r>
        <w:rPr>
          <w:rFonts w:hint="eastAsia"/>
        </w:rPr>
        <w:t>本标准根据《六部门联合印发关于“十四五”推动石化化工行业高质量发展的指导意见》（工信部联原〔</w:t>
      </w:r>
      <w:r>
        <w:t>2022〕34号</w:t>
      </w:r>
      <w:r>
        <w:rPr>
          <w:rFonts w:hint="eastAsia"/>
        </w:rPr>
        <w:t>）、《高耗能行业重点领域节能降碳改造升级实施指南（</w:t>
      </w:r>
      <w:r>
        <w:t>2022年版）》</w:t>
      </w:r>
      <w:r>
        <w:rPr>
          <w:rFonts w:hint="eastAsia"/>
        </w:rPr>
        <w:t>（发改产业〔</w:t>
      </w:r>
      <w:r>
        <w:t>2022〕200号</w:t>
      </w:r>
      <w:r>
        <w:rPr>
          <w:rFonts w:hint="eastAsia"/>
        </w:rPr>
        <w:t>）中附件</w:t>
      </w:r>
      <w:r>
        <w:t>2</w:t>
      </w:r>
      <w:r>
        <w:rPr>
          <w:rFonts w:hint="eastAsia"/>
        </w:rPr>
        <w:t>《乙烯行业节能降碳改造升级实施指南》等的节能管理及措施，结合调研企业现状，及近年新建蒸汽裂解制乙烯项目设计情况，制定了降碳管理及措施。</w:t>
      </w:r>
    </w:p>
    <w:p w14:paraId="5EE088B4">
      <w:pPr>
        <w:pStyle w:val="3"/>
        <w:spacing w:before="156" w:after="156"/>
      </w:pPr>
      <w:r>
        <w:rPr>
          <w:rFonts w:hint="eastAsia"/>
        </w:rPr>
        <w:t>附录A</w:t>
      </w:r>
    </w:p>
    <w:p w14:paraId="66E93F6C">
      <w:pPr>
        <w:pStyle w:val="17"/>
        <w:ind w:firstLine="480"/>
      </w:pPr>
      <w:r>
        <w:rPr>
          <w:rFonts w:hint="eastAsia"/>
        </w:rPr>
        <w:t>根据《</w:t>
      </w:r>
      <w:r>
        <w:rPr>
          <w:rFonts w:hint="eastAsia" w:cs="Times New Roman"/>
        </w:rPr>
        <w:t>碳排放核算与报告要求</w:t>
      </w:r>
      <w:r>
        <w:rPr>
          <w:rFonts w:cs="Times New Roman"/>
        </w:rPr>
        <w:t xml:space="preserve"> 第15部分：石油化工企业</w:t>
      </w:r>
      <w:r>
        <w:rPr>
          <w:rFonts w:hint="eastAsia"/>
        </w:rPr>
        <w:t>》</w:t>
      </w:r>
      <w:r>
        <w:rPr>
          <w:rFonts w:cs="Times New Roman"/>
        </w:rPr>
        <w:t>（GB∕T 32151.15</w:t>
      </w:r>
      <w:r>
        <w:rPr>
          <w:rFonts w:hint="eastAsia" w:cs="Times New Roman"/>
        </w:rPr>
        <w:t>-</w:t>
      </w:r>
      <w:r>
        <w:rPr>
          <w:rFonts w:cs="Times New Roman"/>
        </w:rPr>
        <w:t>2023）</w:t>
      </w:r>
      <w:r>
        <w:rPr>
          <w:rFonts w:hint="eastAsia" w:cs="Times New Roman"/>
        </w:rPr>
        <w:t>给出乙烯装置碳排放核算边界示意图</w:t>
      </w:r>
      <w:r>
        <w:rPr>
          <w:rFonts w:hint="eastAsia"/>
        </w:rPr>
        <w:t>。</w:t>
      </w:r>
    </w:p>
    <w:p w14:paraId="4D88E262">
      <w:pPr>
        <w:pStyle w:val="2"/>
        <w:spacing w:before="156" w:after="156"/>
      </w:pPr>
      <w:r>
        <w:rPr>
          <w:rFonts w:hint="eastAsia"/>
        </w:rPr>
        <w:t>与国内同类标准水平的对比情况</w:t>
      </w:r>
    </w:p>
    <w:p w14:paraId="532B5D69">
      <w:pPr>
        <w:pStyle w:val="3"/>
        <w:spacing w:before="156" w:after="156"/>
      </w:pPr>
      <w:r>
        <w:rPr>
          <w:rFonts w:hint="eastAsia"/>
        </w:rPr>
        <w:t>国内同类标准情况</w:t>
      </w:r>
    </w:p>
    <w:p w14:paraId="5C9D3793">
      <w:pPr>
        <w:pStyle w:val="17"/>
        <w:ind w:firstLine="480"/>
        <w:rPr>
          <w:rFonts w:cs="Times New Roman"/>
        </w:rPr>
      </w:pPr>
      <w:r>
        <w:rPr>
          <w:rFonts w:cs="Times New Roman"/>
        </w:rPr>
        <w:t>2019</w:t>
      </w:r>
      <w:r>
        <w:rPr>
          <w:rFonts w:hint="eastAsia" w:cs="Times New Roman"/>
        </w:rPr>
        <w:t>年2月，上海市发布了地方标准《</w:t>
      </w:r>
      <w:r>
        <w:rPr>
          <w:rFonts w:cs="Times New Roman"/>
        </w:rPr>
        <w:t>乙烯产品碳排放指标</w:t>
      </w:r>
      <w:r>
        <w:rPr>
          <w:rFonts w:hint="eastAsia" w:cs="Times New Roman"/>
        </w:rPr>
        <w:t>》（</w:t>
      </w:r>
      <w:r>
        <w:rPr>
          <w:rFonts w:cs="Times New Roman"/>
        </w:rPr>
        <w:t xml:space="preserve">DB31/T 1144 </w:t>
      </w:r>
      <w:r>
        <w:rPr>
          <w:rFonts w:hint="eastAsia" w:cs="Times New Roman"/>
        </w:rPr>
        <w:t>-</w:t>
      </w:r>
      <w:r>
        <w:rPr>
          <w:rFonts w:cs="Times New Roman"/>
        </w:rPr>
        <w:t>2019</w:t>
      </w:r>
      <w:r>
        <w:rPr>
          <w:rFonts w:hint="eastAsia" w:cs="Times New Roman"/>
        </w:rPr>
        <w:t>）。该标准主要内容如下：</w:t>
      </w:r>
    </w:p>
    <w:p w14:paraId="1433B3EF">
      <w:pPr>
        <w:pStyle w:val="17"/>
        <w:ind w:firstLine="480"/>
        <w:rPr>
          <w:rFonts w:cs="Times New Roman"/>
        </w:rPr>
      </w:pPr>
      <w:r>
        <w:rPr>
          <w:rFonts w:hint="eastAsia" w:cs="Times New Roman"/>
        </w:rPr>
        <w:t>该标准适用于“以石油烃为原料，经蒸汽热裂解、急冷、压缩、分离工艺，生产乙烯、丙烯、混合碳四、裂解汽油和氢气等产品的乙烯产品碳排放指标计算和评价。”</w:t>
      </w:r>
    </w:p>
    <w:p w14:paraId="5EE478B5">
      <w:pPr>
        <w:pStyle w:val="17"/>
        <w:ind w:firstLine="480"/>
        <w:rPr>
          <w:rFonts w:cs="Times New Roman"/>
        </w:rPr>
      </w:pPr>
      <w:r>
        <w:rPr>
          <w:rFonts w:hint="eastAsia" w:cs="Times New Roman"/>
        </w:rPr>
        <w:t>该标准统计范围为：包括乙烯装置（原料缓冲罐、原料脱硫和脱砷、裂解炉区、急冷区、压缩区、分离区等单元，不包括汽油加氢、辅助锅炉、主火炬、废碱处理、其他产品储罐、循环水场、空压站等单元）化石燃料燃烧产生的碳排放、烧焦产生的碳排放，以及消耗电力和热力产生的碳排放。</w:t>
      </w:r>
    </w:p>
    <w:p w14:paraId="67FD5068">
      <w:pPr>
        <w:pStyle w:val="17"/>
        <w:ind w:firstLine="480"/>
        <w:rPr>
          <w:rFonts w:cs="Times New Roman"/>
        </w:rPr>
      </w:pPr>
      <w:r>
        <w:rPr>
          <w:rFonts w:hint="eastAsia" w:cs="Times New Roman"/>
        </w:rPr>
        <w:t>该标准乙烯装置高附加值产品主要指乙烯、丙烯、丁二烯、苯、氢气。</w:t>
      </w:r>
    </w:p>
    <w:p w14:paraId="40FD01BA">
      <w:pPr>
        <w:pStyle w:val="17"/>
        <w:ind w:firstLine="480"/>
        <w:rPr>
          <w:rFonts w:cs="Times New Roman"/>
        </w:rPr>
      </w:pPr>
      <w:r>
        <w:rPr>
          <w:rFonts w:hint="eastAsia" w:cs="Times New Roman"/>
        </w:rPr>
        <w:t>该标准碳排放核算方法依据《温室气体排放核算与报告要求 第1</w:t>
      </w:r>
      <w:r>
        <w:rPr>
          <w:rFonts w:cs="Times New Roman"/>
        </w:rPr>
        <w:t>0</w:t>
      </w:r>
      <w:r>
        <w:rPr>
          <w:rFonts w:hint="eastAsia" w:cs="Times New Roman"/>
        </w:rPr>
        <w:t>部分：化工生产企业》（</w:t>
      </w:r>
      <w:r>
        <w:rPr>
          <w:rFonts w:cs="Times New Roman"/>
        </w:rPr>
        <w:t>GB∕T 32151.10</w:t>
      </w:r>
      <w:r>
        <w:rPr>
          <w:rFonts w:hint="eastAsia" w:cs="Times New Roman"/>
        </w:rPr>
        <w:t>-</w:t>
      </w:r>
      <w:r>
        <w:rPr>
          <w:rFonts w:cs="Times New Roman"/>
        </w:rPr>
        <w:t>2015</w:t>
      </w:r>
      <w:r>
        <w:rPr>
          <w:rFonts w:hint="eastAsia" w:cs="Times New Roman"/>
        </w:rPr>
        <w:t>）。</w:t>
      </w:r>
    </w:p>
    <w:p w14:paraId="1AA6FCC0">
      <w:pPr>
        <w:pStyle w:val="17"/>
        <w:ind w:firstLine="480"/>
        <w:rPr>
          <w:rFonts w:cs="Times New Roman"/>
        </w:rPr>
      </w:pPr>
      <w:r>
        <w:rPr>
          <w:rFonts w:hint="eastAsia" w:cs="Times New Roman"/>
        </w:rPr>
        <w:t>该标准规定了单位产品碳排放典型值和标杆值，详见表</w:t>
      </w:r>
      <w:r>
        <w:rPr>
          <w:rFonts w:cs="Times New Roman"/>
        </w:rPr>
        <w:t>6.1</w:t>
      </w:r>
      <w:r>
        <w:rPr>
          <w:rFonts w:hint="eastAsia" w:cs="Times New Roman"/>
        </w:rPr>
        <w:t>-</w:t>
      </w:r>
      <w:r>
        <w:rPr>
          <w:rFonts w:cs="Times New Roman"/>
        </w:rPr>
        <w:t>1</w:t>
      </w:r>
      <w:r>
        <w:rPr>
          <w:rFonts w:hint="eastAsia" w:cs="Times New Roman"/>
        </w:rPr>
        <w:t>。</w:t>
      </w:r>
    </w:p>
    <w:p w14:paraId="2A63335B">
      <w:pPr>
        <w:pStyle w:val="17"/>
        <w:ind w:firstLine="480"/>
        <w:rPr>
          <w:rFonts w:cs="Times New Roman"/>
        </w:rPr>
      </w:pPr>
    </w:p>
    <w:p w14:paraId="3AB605C5">
      <w:pPr>
        <w:pStyle w:val="17"/>
        <w:ind w:firstLine="480"/>
        <w:rPr>
          <w:rFonts w:hint="eastAsia" w:cs="Times New Roman"/>
        </w:rPr>
      </w:pPr>
    </w:p>
    <w:p w14:paraId="28594792">
      <w:pPr>
        <w:pStyle w:val="17"/>
        <w:ind w:firstLine="0" w:firstLineChars="0"/>
        <w:jc w:val="center"/>
        <w:rPr>
          <w:rFonts w:cs="Times New Roman"/>
        </w:rPr>
      </w:pPr>
      <w:r>
        <w:rPr>
          <w:rFonts w:hint="eastAsia" w:cs="Times New Roman"/>
        </w:rPr>
        <w:t>表6</w:t>
      </w:r>
      <w:r>
        <w:rPr>
          <w:rFonts w:cs="Times New Roman"/>
        </w:rPr>
        <w:t>.1</w:t>
      </w:r>
      <w:r>
        <w:rPr>
          <w:rFonts w:hint="eastAsia" w:cs="Times New Roman"/>
        </w:rPr>
        <w:t>-</w:t>
      </w:r>
      <w:r>
        <w:rPr>
          <w:rFonts w:cs="Times New Roman"/>
        </w:rPr>
        <w:t xml:space="preserve">1 </w:t>
      </w:r>
      <w:r>
        <w:rPr>
          <w:rFonts w:hint="eastAsia" w:cs="Times New Roman"/>
        </w:rPr>
        <w:t>上海市乙烯装置碳排放指标与本标准对比</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1"/>
        <w:gridCol w:w="1019"/>
        <w:gridCol w:w="1165"/>
        <w:gridCol w:w="1311"/>
        <w:gridCol w:w="1165"/>
        <w:gridCol w:w="1165"/>
        <w:gridCol w:w="1246"/>
      </w:tblGrid>
      <w:tr w14:paraId="2C00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413" w:type="dxa"/>
            <w:vMerge w:val="restart"/>
            <w:vAlign w:val="center"/>
          </w:tcPr>
          <w:p w14:paraId="041B6883">
            <w:pPr>
              <w:autoSpaceDE w:val="0"/>
              <w:autoSpaceDN w:val="0"/>
              <w:adjustRightInd w:val="0"/>
              <w:jc w:val="center"/>
              <w:rPr>
                <w:color w:val="000000"/>
                <w:kern w:val="0"/>
                <w:sz w:val="18"/>
                <w:szCs w:val="18"/>
              </w:rPr>
            </w:pPr>
            <w:r>
              <w:rPr>
                <w:color w:val="000000"/>
                <w:kern w:val="0"/>
                <w:sz w:val="18"/>
                <w:szCs w:val="18"/>
              </w:rPr>
              <w:t>名称</w:t>
            </w:r>
          </w:p>
        </w:tc>
        <w:tc>
          <w:tcPr>
            <w:tcW w:w="992" w:type="dxa"/>
            <w:vMerge w:val="restart"/>
            <w:vAlign w:val="center"/>
          </w:tcPr>
          <w:p w14:paraId="2A850D1C">
            <w:pPr>
              <w:autoSpaceDE w:val="0"/>
              <w:autoSpaceDN w:val="0"/>
              <w:adjustRightInd w:val="0"/>
              <w:jc w:val="center"/>
              <w:rPr>
                <w:color w:val="000000"/>
                <w:kern w:val="0"/>
                <w:sz w:val="18"/>
                <w:szCs w:val="18"/>
              </w:rPr>
            </w:pPr>
            <w:r>
              <w:rPr>
                <w:color w:val="000000"/>
                <w:kern w:val="0"/>
                <w:sz w:val="18"/>
                <w:szCs w:val="18"/>
              </w:rPr>
              <w:t>单位</w:t>
            </w:r>
          </w:p>
        </w:tc>
        <w:tc>
          <w:tcPr>
            <w:tcW w:w="2410" w:type="dxa"/>
            <w:gridSpan w:val="2"/>
            <w:vAlign w:val="center"/>
          </w:tcPr>
          <w:p w14:paraId="4D54A265">
            <w:pPr>
              <w:autoSpaceDE w:val="0"/>
              <w:autoSpaceDN w:val="0"/>
              <w:adjustRightInd w:val="0"/>
              <w:jc w:val="center"/>
              <w:rPr>
                <w:color w:val="000000"/>
                <w:kern w:val="0"/>
                <w:sz w:val="18"/>
                <w:szCs w:val="18"/>
              </w:rPr>
            </w:pPr>
            <w:r>
              <w:rPr>
                <w:rFonts w:hint="eastAsia"/>
                <w:color w:val="000000"/>
                <w:kern w:val="0"/>
                <w:sz w:val="18"/>
                <w:szCs w:val="18"/>
              </w:rPr>
              <w:t>上海市</w:t>
            </w:r>
            <w:r>
              <w:rPr>
                <w:color w:val="000000"/>
                <w:kern w:val="0"/>
                <w:sz w:val="18"/>
                <w:szCs w:val="18"/>
              </w:rPr>
              <w:t>指标</w:t>
            </w:r>
          </w:p>
        </w:tc>
        <w:tc>
          <w:tcPr>
            <w:tcW w:w="3481" w:type="dxa"/>
            <w:gridSpan w:val="3"/>
          </w:tcPr>
          <w:p w14:paraId="42E6D183">
            <w:pPr>
              <w:autoSpaceDE w:val="0"/>
              <w:autoSpaceDN w:val="0"/>
              <w:adjustRightInd w:val="0"/>
              <w:jc w:val="center"/>
              <w:rPr>
                <w:color w:val="000000"/>
                <w:kern w:val="0"/>
                <w:sz w:val="18"/>
                <w:szCs w:val="18"/>
              </w:rPr>
            </w:pPr>
            <w:r>
              <w:rPr>
                <w:rFonts w:hint="eastAsia"/>
                <w:color w:val="000000"/>
                <w:kern w:val="0"/>
                <w:sz w:val="18"/>
                <w:szCs w:val="18"/>
              </w:rPr>
              <w:t>本标准指标</w:t>
            </w:r>
          </w:p>
        </w:tc>
      </w:tr>
      <w:tr w14:paraId="6B87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413" w:type="dxa"/>
            <w:vMerge w:val="continue"/>
            <w:vAlign w:val="center"/>
          </w:tcPr>
          <w:p w14:paraId="247FAEFC">
            <w:pPr>
              <w:autoSpaceDE w:val="0"/>
              <w:autoSpaceDN w:val="0"/>
              <w:adjustRightInd w:val="0"/>
              <w:jc w:val="center"/>
              <w:rPr>
                <w:color w:val="000000"/>
                <w:kern w:val="0"/>
                <w:sz w:val="18"/>
                <w:szCs w:val="18"/>
              </w:rPr>
            </w:pPr>
          </w:p>
        </w:tc>
        <w:tc>
          <w:tcPr>
            <w:tcW w:w="992" w:type="dxa"/>
            <w:vMerge w:val="continue"/>
            <w:vAlign w:val="center"/>
          </w:tcPr>
          <w:p w14:paraId="5168AEAC">
            <w:pPr>
              <w:autoSpaceDE w:val="0"/>
              <w:autoSpaceDN w:val="0"/>
              <w:adjustRightInd w:val="0"/>
              <w:jc w:val="center"/>
              <w:rPr>
                <w:color w:val="000000"/>
                <w:kern w:val="0"/>
                <w:sz w:val="18"/>
                <w:szCs w:val="18"/>
              </w:rPr>
            </w:pPr>
          </w:p>
        </w:tc>
        <w:tc>
          <w:tcPr>
            <w:tcW w:w="1134" w:type="dxa"/>
            <w:vAlign w:val="center"/>
          </w:tcPr>
          <w:p w14:paraId="3801CE02">
            <w:pPr>
              <w:autoSpaceDE w:val="0"/>
              <w:autoSpaceDN w:val="0"/>
              <w:adjustRightInd w:val="0"/>
              <w:jc w:val="center"/>
              <w:rPr>
                <w:color w:val="000000"/>
                <w:kern w:val="0"/>
                <w:sz w:val="18"/>
                <w:szCs w:val="18"/>
              </w:rPr>
            </w:pPr>
            <w:r>
              <w:rPr>
                <w:rFonts w:hint="eastAsia"/>
                <w:color w:val="000000"/>
                <w:kern w:val="0"/>
                <w:sz w:val="18"/>
                <w:szCs w:val="18"/>
              </w:rPr>
              <w:t>典型值</w:t>
            </w:r>
          </w:p>
        </w:tc>
        <w:tc>
          <w:tcPr>
            <w:tcW w:w="1276" w:type="dxa"/>
            <w:vAlign w:val="center"/>
          </w:tcPr>
          <w:p w14:paraId="3848EE2E">
            <w:pPr>
              <w:autoSpaceDE w:val="0"/>
              <w:autoSpaceDN w:val="0"/>
              <w:adjustRightInd w:val="0"/>
              <w:jc w:val="center"/>
              <w:rPr>
                <w:color w:val="000000"/>
                <w:kern w:val="0"/>
                <w:sz w:val="18"/>
                <w:szCs w:val="18"/>
              </w:rPr>
            </w:pPr>
            <w:r>
              <w:rPr>
                <w:rFonts w:hint="eastAsia"/>
                <w:color w:val="000000"/>
                <w:kern w:val="0"/>
                <w:sz w:val="18"/>
                <w:szCs w:val="18"/>
              </w:rPr>
              <w:t>标杆值</w:t>
            </w:r>
          </w:p>
        </w:tc>
        <w:tc>
          <w:tcPr>
            <w:tcW w:w="1134" w:type="dxa"/>
            <w:vAlign w:val="center"/>
          </w:tcPr>
          <w:p w14:paraId="60E6312D">
            <w:pPr>
              <w:autoSpaceDE w:val="0"/>
              <w:autoSpaceDN w:val="0"/>
              <w:adjustRightInd w:val="0"/>
              <w:jc w:val="center"/>
              <w:rPr>
                <w:color w:val="000000"/>
                <w:kern w:val="0"/>
                <w:sz w:val="18"/>
                <w:szCs w:val="18"/>
              </w:rPr>
            </w:pPr>
            <w:r>
              <w:rPr>
                <w:color w:val="000000"/>
                <w:kern w:val="0"/>
                <w:sz w:val="18"/>
                <w:szCs w:val="18"/>
              </w:rPr>
              <w:t>1级</w:t>
            </w:r>
          </w:p>
        </w:tc>
        <w:tc>
          <w:tcPr>
            <w:tcW w:w="1134" w:type="dxa"/>
            <w:vAlign w:val="center"/>
          </w:tcPr>
          <w:p w14:paraId="79F97CB6">
            <w:pPr>
              <w:autoSpaceDE w:val="0"/>
              <w:autoSpaceDN w:val="0"/>
              <w:adjustRightInd w:val="0"/>
              <w:jc w:val="center"/>
              <w:rPr>
                <w:color w:val="000000"/>
                <w:kern w:val="0"/>
                <w:sz w:val="18"/>
                <w:szCs w:val="18"/>
              </w:rPr>
            </w:pPr>
            <w:r>
              <w:rPr>
                <w:color w:val="000000"/>
                <w:kern w:val="0"/>
                <w:sz w:val="18"/>
                <w:szCs w:val="18"/>
              </w:rPr>
              <w:t>2级</w:t>
            </w:r>
          </w:p>
        </w:tc>
        <w:tc>
          <w:tcPr>
            <w:tcW w:w="1213" w:type="dxa"/>
            <w:vAlign w:val="center"/>
          </w:tcPr>
          <w:p w14:paraId="73324B80">
            <w:pPr>
              <w:autoSpaceDE w:val="0"/>
              <w:autoSpaceDN w:val="0"/>
              <w:adjustRightInd w:val="0"/>
              <w:jc w:val="center"/>
              <w:rPr>
                <w:color w:val="000000"/>
                <w:kern w:val="0"/>
                <w:sz w:val="18"/>
                <w:szCs w:val="18"/>
              </w:rPr>
            </w:pPr>
            <w:r>
              <w:rPr>
                <w:color w:val="000000"/>
                <w:kern w:val="0"/>
                <w:sz w:val="18"/>
                <w:szCs w:val="18"/>
              </w:rPr>
              <w:t>3级</w:t>
            </w:r>
          </w:p>
        </w:tc>
      </w:tr>
      <w:tr w14:paraId="48687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413" w:type="dxa"/>
            <w:vAlign w:val="center"/>
          </w:tcPr>
          <w:p w14:paraId="41441548">
            <w:pPr>
              <w:autoSpaceDE w:val="0"/>
              <w:autoSpaceDN w:val="0"/>
              <w:adjustRightInd w:val="0"/>
              <w:jc w:val="center"/>
              <w:rPr>
                <w:color w:val="000000"/>
                <w:kern w:val="0"/>
                <w:sz w:val="18"/>
                <w:szCs w:val="18"/>
              </w:rPr>
            </w:pPr>
            <w:r>
              <w:rPr>
                <w:rFonts w:hint="eastAsia"/>
                <w:color w:val="000000"/>
                <w:kern w:val="0"/>
                <w:sz w:val="18"/>
                <w:szCs w:val="18"/>
              </w:rPr>
              <w:t>单位乙烯产品碳排放</w:t>
            </w:r>
          </w:p>
        </w:tc>
        <w:tc>
          <w:tcPr>
            <w:tcW w:w="992" w:type="dxa"/>
            <w:vAlign w:val="center"/>
          </w:tcPr>
          <w:p w14:paraId="6BF144B1">
            <w:pPr>
              <w:autoSpaceDE w:val="0"/>
              <w:autoSpaceDN w:val="0"/>
              <w:adjustRightInd w:val="0"/>
              <w:jc w:val="center"/>
              <w:rPr>
                <w:color w:val="000000"/>
                <w:kern w:val="0"/>
                <w:sz w:val="18"/>
                <w:szCs w:val="18"/>
              </w:rPr>
            </w:pPr>
            <w:r>
              <w:rPr>
                <w:sz w:val="18"/>
                <w:szCs w:val="18"/>
              </w:rPr>
              <w:t>t</w:t>
            </w:r>
            <w:r>
              <w:rPr>
                <w:sz w:val="18"/>
                <w:szCs w:val="18"/>
                <w:vertAlign w:val="subscript"/>
              </w:rPr>
              <w:t>CO2</w:t>
            </w:r>
            <w:r>
              <w:rPr>
                <w:sz w:val="18"/>
                <w:szCs w:val="18"/>
              </w:rPr>
              <w:t>/t</w:t>
            </w:r>
            <w:r>
              <w:rPr>
                <w:rFonts w:hint="eastAsia"/>
                <w:sz w:val="18"/>
                <w:szCs w:val="18"/>
                <w:vertAlign w:val="subscript"/>
              </w:rPr>
              <w:t>乙烯</w:t>
            </w:r>
            <w:r>
              <w:rPr>
                <w:color w:val="000000"/>
                <w:kern w:val="0"/>
                <w:sz w:val="18"/>
                <w:szCs w:val="18"/>
              </w:rPr>
              <w:t xml:space="preserve"> </w:t>
            </w:r>
          </w:p>
        </w:tc>
        <w:tc>
          <w:tcPr>
            <w:tcW w:w="1134" w:type="dxa"/>
            <w:vAlign w:val="center"/>
          </w:tcPr>
          <w:p w14:paraId="21E53CD4">
            <w:pPr>
              <w:autoSpaceDE w:val="0"/>
              <w:autoSpaceDN w:val="0"/>
              <w:adjustRightInd w:val="0"/>
              <w:jc w:val="center"/>
              <w:rPr>
                <w:color w:val="000000"/>
                <w:kern w:val="0"/>
                <w:sz w:val="18"/>
                <w:szCs w:val="18"/>
              </w:rPr>
            </w:pPr>
            <w:r>
              <w:rPr>
                <w:color w:val="000000"/>
                <w:kern w:val="0"/>
                <w:sz w:val="18"/>
                <w:szCs w:val="18"/>
              </w:rPr>
              <w:t>1.462</w:t>
            </w:r>
          </w:p>
        </w:tc>
        <w:tc>
          <w:tcPr>
            <w:tcW w:w="1276" w:type="dxa"/>
            <w:vAlign w:val="center"/>
          </w:tcPr>
          <w:p w14:paraId="725B54AC">
            <w:pPr>
              <w:autoSpaceDE w:val="0"/>
              <w:autoSpaceDN w:val="0"/>
              <w:adjustRightInd w:val="0"/>
              <w:jc w:val="center"/>
              <w:rPr>
                <w:color w:val="000000"/>
                <w:kern w:val="0"/>
                <w:sz w:val="18"/>
                <w:szCs w:val="18"/>
              </w:rPr>
            </w:pPr>
            <w:r>
              <w:rPr>
                <w:color w:val="000000"/>
                <w:kern w:val="0"/>
                <w:sz w:val="18"/>
                <w:szCs w:val="18"/>
              </w:rPr>
              <w:t>1.277</w:t>
            </w:r>
          </w:p>
        </w:tc>
        <w:tc>
          <w:tcPr>
            <w:tcW w:w="1134" w:type="dxa"/>
            <w:vAlign w:val="center"/>
          </w:tcPr>
          <w:p w14:paraId="34CC4B83">
            <w:pPr>
              <w:autoSpaceDE w:val="0"/>
              <w:autoSpaceDN w:val="0"/>
              <w:adjustRightInd w:val="0"/>
              <w:jc w:val="center"/>
              <w:rPr>
                <w:kern w:val="0"/>
                <w:sz w:val="18"/>
                <w:szCs w:val="18"/>
              </w:rPr>
            </w:pPr>
            <w:r>
              <w:rPr>
                <w:kern w:val="0"/>
                <w:sz w:val="18"/>
                <w:szCs w:val="18"/>
              </w:rPr>
              <w:t>1.36</w:t>
            </w:r>
          </w:p>
        </w:tc>
        <w:tc>
          <w:tcPr>
            <w:tcW w:w="1134" w:type="dxa"/>
            <w:vAlign w:val="center"/>
          </w:tcPr>
          <w:p w14:paraId="1C79B257">
            <w:pPr>
              <w:autoSpaceDE w:val="0"/>
              <w:autoSpaceDN w:val="0"/>
              <w:adjustRightInd w:val="0"/>
              <w:jc w:val="center"/>
              <w:rPr>
                <w:kern w:val="0"/>
                <w:sz w:val="18"/>
                <w:szCs w:val="18"/>
              </w:rPr>
            </w:pPr>
            <w:r>
              <w:rPr>
                <w:kern w:val="0"/>
                <w:sz w:val="18"/>
                <w:szCs w:val="18"/>
              </w:rPr>
              <w:t>1.44</w:t>
            </w:r>
          </w:p>
        </w:tc>
        <w:tc>
          <w:tcPr>
            <w:tcW w:w="1213" w:type="dxa"/>
            <w:vAlign w:val="center"/>
          </w:tcPr>
          <w:p w14:paraId="03BB6D9B">
            <w:pPr>
              <w:autoSpaceDE w:val="0"/>
              <w:autoSpaceDN w:val="0"/>
              <w:adjustRightInd w:val="0"/>
              <w:jc w:val="center"/>
              <w:rPr>
                <w:kern w:val="0"/>
                <w:sz w:val="18"/>
                <w:szCs w:val="18"/>
              </w:rPr>
            </w:pPr>
            <w:r>
              <w:rPr>
                <w:kern w:val="0"/>
                <w:sz w:val="18"/>
                <w:szCs w:val="18"/>
              </w:rPr>
              <w:t>1.55</w:t>
            </w:r>
          </w:p>
        </w:tc>
      </w:tr>
      <w:tr w14:paraId="6030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413" w:type="dxa"/>
            <w:vAlign w:val="center"/>
          </w:tcPr>
          <w:p w14:paraId="6AABF9D9">
            <w:pPr>
              <w:autoSpaceDE w:val="0"/>
              <w:autoSpaceDN w:val="0"/>
              <w:adjustRightInd w:val="0"/>
              <w:jc w:val="center"/>
              <w:rPr>
                <w:color w:val="000000"/>
                <w:kern w:val="0"/>
                <w:sz w:val="18"/>
                <w:szCs w:val="18"/>
              </w:rPr>
            </w:pPr>
            <w:r>
              <w:rPr>
                <w:rFonts w:hint="eastAsia"/>
                <w:color w:val="000000"/>
                <w:kern w:val="0"/>
                <w:sz w:val="18"/>
                <w:szCs w:val="18"/>
              </w:rPr>
              <w:t>单位双烯产品碳排放</w:t>
            </w:r>
          </w:p>
        </w:tc>
        <w:tc>
          <w:tcPr>
            <w:tcW w:w="992" w:type="dxa"/>
            <w:vAlign w:val="center"/>
          </w:tcPr>
          <w:p w14:paraId="629CE8A6">
            <w:pPr>
              <w:autoSpaceDE w:val="0"/>
              <w:autoSpaceDN w:val="0"/>
              <w:adjustRightInd w:val="0"/>
              <w:jc w:val="center"/>
              <w:rPr>
                <w:sz w:val="18"/>
                <w:szCs w:val="18"/>
              </w:rPr>
            </w:pPr>
            <w:r>
              <w:rPr>
                <w:sz w:val="18"/>
                <w:szCs w:val="18"/>
              </w:rPr>
              <w:t>t</w:t>
            </w:r>
            <w:r>
              <w:rPr>
                <w:sz w:val="18"/>
                <w:szCs w:val="18"/>
                <w:vertAlign w:val="subscript"/>
              </w:rPr>
              <w:t>CO2</w:t>
            </w:r>
            <w:r>
              <w:rPr>
                <w:sz w:val="18"/>
                <w:szCs w:val="18"/>
              </w:rPr>
              <w:t>/t</w:t>
            </w:r>
            <w:r>
              <w:rPr>
                <w:rFonts w:hint="eastAsia"/>
                <w:sz w:val="18"/>
                <w:szCs w:val="18"/>
                <w:vertAlign w:val="subscript"/>
              </w:rPr>
              <w:t>双烯</w:t>
            </w:r>
          </w:p>
        </w:tc>
        <w:tc>
          <w:tcPr>
            <w:tcW w:w="1134" w:type="dxa"/>
            <w:vAlign w:val="center"/>
          </w:tcPr>
          <w:p w14:paraId="38961AF2">
            <w:pPr>
              <w:autoSpaceDE w:val="0"/>
              <w:autoSpaceDN w:val="0"/>
              <w:adjustRightInd w:val="0"/>
              <w:jc w:val="center"/>
              <w:rPr>
                <w:color w:val="000000"/>
                <w:kern w:val="0"/>
                <w:sz w:val="18"/>
                <w:szCs w:val="18"/>
              </w:rPr>
            </w:pPr>
            <w:r>
              <w:rPr>
                <w:color w:val="000000"/>
                <w:kern w:val="0"/>
                <w:sz w:val="18"/>
                <w:szCs w:val="18"/>
              </w:rPr>
              <w:t>0.99</w:t>
            </w:r>
          </w:p>
        </w:tc>
        <w:tc>
          <w:tcPr>
            <w:tcW w:w="1276" w:type="dxa"/>
            <w:vAlign w:val="center"/>
          </w:tcPr>
          <w:p w14:paraId="71948C4E">
            <w:pPr>
              <w:autoSpaceDE w:val="0"/>
              <w:autoSpaceDN w:val="0"/>
              <w:adjustRightInd w:val="0"/>
              <w:jc w:val="center"/>
              <w:rPr>
                <w:color w:val="000000"/>
                <w:kern w:val="0"/>
                <w:sz w:val="18"/>
                <w:szCs w:val="18"/>
              </w:rPr>
            </w:pPr>
            <w:r>
              <w:rPr>
                <w:color w:val="000000"/>
                <w:kern w:val="0"/>
                <w:sz w:val="18"/>
                <w:szCs w:val="18"/>
              </w:rPr>
              <w:t>0.858</w:t>
            </w:r>
          </w:p>
        </w:tc>
        <w:tc>
          <w:tcPr>
            <w:tcW w:w="1134" w:type="dxa"/>
            <w:vAlign w:val="center"/>
          </w:tcPr>
          <w:p w14:paraId="6AD776BB">
            <w:pPr>
              <w:autoSpaceDE w:val="0"/>
              <w:autoSpaceDN w:val="0"/>
              <w:adjustRightInd w:val="0"/>
              <w:jc w:val="center"/>
              <w:rPr>
                <w:kern w:val="0"/>
                <w:sz w:val="18"/>
                <w:szCs w:val="18"/>
              </w:rPr>
            </w:pPr>
            <w:r>
              <w:rPr>
                <w:kern w:val="0"/>
                <w:sz w:val="18"/>
                <w:szCs w:val="18"/>
              </w:rPr>
              <w:t>0.91</w:t>
            </w:r>
          </w:p>
        </w:tc>
        <w:tc>
          <w:tcPr>
            <w:tcW w:w="1134" w:type="dxa"/>
            <w:vAlign w:val="center"/>
          </w:tcPr>
          <w:p w14:paraId="66F2E170">
            <w:pPr>
              <w:autoSpaceDE w:val="0"/>
              <w:autoSpaceDN w:val="0"/>
              <w:adjustRightInd w:val="0"/>
              <w:jc w:val="center"/>
              <w:rPr>
                <w:kern w:val="0"/>
                <w:sz w:val="18"/>
                <w:szCs w:val="18"/>
              </w:rPr>
            </w:pPr>
            <w:r>
              <w:rPr>
                <w:kern w:val="0"/>
                <w:sz w:val="18"/>
                <w:szCs w:val="18"/>
              </w:rPr>
              <w:t>0.97</w:t>
            </w:r>
          </w:p>
        </w:tc>
        <w:tc>
          <w:tcPr>
            <w:tcW w:w="1213" w:type="dxa"/>
            <w:vAlign w:val="center"/>
          </w:tcPr>
          <w:p w14:paraId="0EBF691F">
            <w:pPr>
              <w:autoSpaceDE w:val="0"/>
              <w:autoSpaceDN w:val="0"/>
              <w:adjustRightInd w:val="0"/>
              <w:jc w:val="center"/>
              <w:rPr>
                <w:kern w:val="0"/>
                <w:sz w:val="18"/>
                <w:szCs w:val="18"/>
              </w:rPr>
            </w:pPr>
            <w:r>
              <w:rPr>
                <w:kern w:val="0"/>
                <w:sz w:val="18"/>
                <w:szCs w:val="18"/>
              </w:rPr>
              <w:t>1.07</w:t>
            </w:r>
          </w:p>
        </w:tc>
      </w:tr>
      <w:tr w14:paraId="2D81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413" w:type="dxa"/>
            <w:vAlign w:val="center"/>
          </w:tcPr>
          <w:p w14:paraId="3F8B2AE0">
            <w:pPr>
              <w:autoSpaceDE w:val="0"/>
              <w:autoSpaceDN w:val="0"/>
              <w:adjustRightInd w:val="0"/>
              <w:jc w:val="center"/>
              <w:rPr>
                <w:color w:val="000000"/>
                <w:kern w:val="0"/>
                <w:sz w:val="18"/>
                <w:szCs w:val="18"/>
              </w:rPr>
            </w:pPr>
            <w:r>
              <w:rPr>
                <w:rFonts w:hint="eastAsia"/>
                <w:color w:val="000000"/>
                <w:kern w:val="0"/>
                <w:sz w:val="18"/>
                <w:szCs w:val="18"/>
              </w:rPr>
              <w:t>单位高附加值产品碳排放</w:t>
            </w:r>
          </w:p>
        </w:tc>
        <w:tc>
          <w:tcPr>
            <w:tcW w:w="992" w:type="dxa"/>
            <w:vAlign w:val="center"/>
          </w:tcPr>
          <w:p w14:paraId="58F8AB31">
            <w:pPr>
              <w:autoSpaceDE w:val="0"/>
              <w:autoSpaceDN w:val="0"/>
              <w:adjustRightInd w:val="0"/>
              <w:jc w:val="center"/>
              <w:rPr>
                <w:sz w:val="18"/>
                <w:szCs w:val="18"/>
              </w:rPr>
            </w:pPr>
            <w:r>
              <w:rPr>
                <w:sz w:val="18"/>
                <w:szCs w:val="18"/>
              </w:rPr>
              <w:t>t</w:t>
            </w:r>
            <w:r>
              <w:rPr>
                <w:sz w:val="18"/>
                <w:szCs w:val="18"/>
                <w:vertAlign w:val="subscript"/>
              </w:rPr>
              <w:t>CO2</w:t>
            </w:r>
            <w:r>
              <w:rPr>
                <w:sz w:val="18"/>
                <w:szCs w:val="18"/>
              </w:rPr>
              <w:t>/t</w:t>
            </w:r>
            <w:r>
              <w:rPr>
                <w:rFonts w:hint="eastAsia"/>
                <w:sz w:val="18"/>
                <w:szCs w:val="18"/>
                <w:vertAlign w:val="subscript"/>
              </w:rPr>
              <w:t>高附</w:t>
            </w:r>
          </w:p>
        </w:tc>
        <w:tc>
          <w:tcPr>
            <w:tcW w:w="1134" w:type="dxa"/>
            <w:vAlign w:val="center"/>
          </w:tcPr>
          <w:p w14:paraId="56CC4C25">
            <w:pPr>
              <w:autoSpaceDE w:val="0"/>
              <w:autoSpaceDN w:val="0"/>
              <w:adjustRightInd w:val="0"/>
              <w:jc w:val="center"/>
              <w:rPr>
                <w:color w:val="000000"/>
                <w:kern w:val="0"/>
                <w:sz w:val="18"/>
                <w:szCs w:val="18"/>
              </w:rPr>
            </w:pPr>
            <w:r>
              <w:rPr>
                <w:color w:val="000000"/>
                <w:kern w:val="0"/>
                <w:sz w:val="18"/>
                <w:szCs w:val="18"/>
              </w:rPr>
              <w:t>0.78</w:t>
            </w:r>
          </w:p>
        </w:tc>
        <w:tc>
          <w:tcPr>
            <w:tcW w:w="1276" w:type="dxa"/>
            <w:vAlign w:val="center"/>
          </w:tcPr>
          <w:p w14:paraId="7691FD02">
            <w:pPr>
              <w:autoSpaceDE w:val="0"/>
              <w:autoSpaceDN w:val="0"/>
              <w:adjustRightInd w:val="0"/>
              <w:jc w:val="center"/>
              <w:rPr>
                <w:color w:val="000000"/>
                <w:kern w:val="0"/>
                <w:sz w:val="18"/>
                <w:szCs w:val="18"/>
              </w:rPr>
            </w:pPr>
            <w:r>
              <w:rPr>
                <w:color w:val="000000"/>
                <w:kern w:val="0"/>
                <w:sz w:val="18"/>
                <w:szCs w:val="18"/>
              </w:rPr>
              <w:t>0.667</w:t>
            </w:r>
          </w:p>
        </w:tc>
        <w:tc>
          <w:tcPr>
            <w:tcW w:w="1134" w:type="dxa"/>
            <w:vAlign w:val="center"/>
          </w:tcPr>
          <w:p w14:paraId="59A42033">
            <w:pPr>
              <w:autoSpaceDE w:val="0"/>
              <w:autoSpaceDN w:val="0"/>
              <w:adjustRightInd w:val="0"/>
              <w:jc w:val="center"/>
              <w:rPr>
                <w:kern w:val="0"/>
                <w:sz w:val="18"/>
                <w:szCs w:val="18"/>
              </w:rPr>
            </w:pPr>
            <w:r>
              <w:rPr>
                <w:kern w:val="0"/>
                <w:sz w:val="18"/>
                <w:szCs w:val="18"/>
              </w:rPr>
              <w:t>0.60</w:t>
            </w:r>
          </w:p>
        </w:tc>
        <w:tc>
          <w:tcPr>
            <w:tcW w:w="1134" w:type="dxa"/>
            <w:vAlign w:val="center"/>
          </w:tcPr>
          <w:p w14:paraId="087422B7">
            <w:pPr>
              <w:autoSpaceDE w:val="0"/>
              <w:autoSpaceDN w:val="0"/>
              <w:adjustRightInd w:val="0"/>
              <w:jc w:val="center"/>
              <w:rPr>
                <w:kern w:val="0"/>
                <w:sz w:val="18"/>
                <w:szCs w:val="18"/>
              </w:rPr>
            </w:pPr>
            <w:r>
              <w:rPr>
                <w:kern w:val="0"/>
                <w:sz w:val="18"/>
                <w:szCs w:val="18"/>
              </w:rPr>
              <w:t>0.67</w:t>
            </w:r>
          </w:p>
        </w:tc>
        <w:tc>
          <w:tcPr>
            <w:tcW w:w="1213" w:type="dxa"/>
            <w:vAlign w:val="center"/>
          </w:tcPr>
          <w:p w14:paraId="6A648651">
            <w:pPr>
              <w:autoSpaceDE w:val="0"/>
              <w:autoSpaceDN w:val="0"/>
              <w:adjustRightInd w:val="0"/>
              <w:jc w:val="center"/>
              <w:rPr>
                <w:kern w:val="0"/>
                <w:sz w:val="18"/>
                <w:szCs w:val="18"/>
              </w:rPr>
            </w:pPr>
            <w:r>
              <w:rPr>
                <w:kern w:val="0"/>
                <w:sz w:val="18"/>
                <w:szCs w:val="18"/>
              </w:rPr>
              <w:t>0.77</w:t>
            </w:r>
          </w:p>
        </w:tc>
      </w:tr>
    </w:tbl>
    <w:p w14:paraId="1830C0A3">
      <w:pPr>
        <w:pStyle w:val="17"/>
        <w:ind w:firstLine="0" w:firstLineChars="0"/>
        <w:jc w:val="center"/>
        <w:rPr>
          <w:rFonts w:cs="Times New Roman"/>
        </w:rPr>
      </w:pPr>
    </w:p>
    <w:p w14:paraId="19A1118F">
      <w:pPr>
        <w:pStyle w:val="3"/>
        <w:spacing w:before="156" w:after="156"/>
      </w:pPr>
      <w:r>
        <w:rPr>
          <w:rFonts w:hint="eastAsia"/>
        </w:rPr>
        <w:t>对比分析</w:t>
      </w:r>
    </w:p>
    <w:p w14:paraId="7AB61EB3">
      <w:pPr>
        <w:pStyle w:val="17"/>
        <w:ind w:firstLine="480"/>
        <w:rPr>
          <w:rFonts w:cs="Times New Roman"/>
        </w:rPr>
      </w:pPr>
      <w:r>
        <w:rPr>
          <w:rFonts w:hint="eastAsia" w:cs="Times New Roman"/>
        </w:rPr>
        <w:t>将本标准与上海市《乙烯产品碳排放指标》（</w:t>
      </w:r>
      <w:r>
        <w:rPr>
          <w:rFonts w:cs="Times New Roman"/>
        </w:rPr>
        <w:t>DB31/T 1144 -2019）</w:t>
      </w:r>
      <w:r>
        <w:rPr>
          <w:rFonts w:hint="eastAsia" w:cs="Times New Roman"/>
        </w:rPr>
        <w:t>进行对比分析：</w:t>
      </w:r>
    </w:p>
    <w:p w14:paraId="4CE38274">
      <w:pPr>
        <w:pStyle w:val="17"/>
        <w:ind w:firstLine="480"/>
        <w:rPr>
          <w:rFonts w:cs="Times New Roman"/>
        </w:rPr>
      </w:pPr>
      <w:r>
        <w:rPr>
          <w:rFonts w:hint="eastAsia" w:cs="Times New Roman"/>
        </w:rPr>
        <w:t>两者适用范围、核算边界（统计范围）基本一致，</w:t>
      </w:r>
      <w:r>
        <w:rPr>
          <w:rFonts w:cs="Times New Roman"/>
        </w:rPr>
        <w:t>DB31/T 1144</w:t>
      </w:r>
      <w:r>
        <w:rPr>
          <w:rFonts w:hint="eastAsia" w:cs="Times New Roman"/>
        </w:rPr>
        <w:t>对高附加值产品定义中未包含乙炔。本标准与国际标准保持一致，高附加值产品包含了乙炔，但实际上，目前国乙蒸汽裂解制乙烯装置基本无乙炔产品生产，故两个标准实际最终统计的高附加值产品量是一致的。</w:t>
      </w:r>
    </w:p>
    <w:p w14:paraId="30AD75C6">
      <w:pPr>
        <w:pStyle w:val="17"/>
        <w:ind w:firstLine="480"/>
        <w:rPr>
          <w:rFonts w:cs="Times New Roman"/>
        </w:rPr>
      </w:pPr>
      <w:r>
        <w:rPr>
          <w:rFonts w:hint="eastAsia" w:cs="Times New Roman"/>
        </w:rPr>
        <w:t>由表6</w:t>
      </w:r>
      <w:r>
        <w:rPr>
          <w:rFonts w:cs="Times New Roman"/>
        </w:rPr>
        <w:t>.1</w:t>
      </w:r>
      <w:r>
        <w:rPr>
          <w:rFonts w:hint="eastAsia" w:cs="Times New Roman"/>
        </w:rPr>
        <w:t>-</w:t>
      </w:r>
      <w:r>
        <w:rPr>
          <w:rFonts w:cs="Times New Roman"/>
        </w:rPr>
        <w:t>1</w:t>
      </w:r>
      <w:r>
        <w:rPr>
          <w:rFonts w:hint="eastAsia" w:cs="Times New Roman"/>
        </w:rPr>
        <w:t>可见，本标准单位乙烯产品碳排放、单位双烯产品碳排放前</w:t>
      </w:r>
      <w:r>
        <w:rPr>
          <w:rFonts w:cs="Times New Roman"/>
        </w:rPr>
        <w:t>10</w:t>
      </w:r>
      <w:r>
        <w:rPr>
          <w:rFonts w:hint="eastAsia" w:cs="Times New Roman"/>
        </w:rPr>
        <w:t>%平均值对应三类指标的“</w:t>
      </w:r>
      <w:r>
        <w:rPr>
          <w:rFonts w:cs="Times New Roman"/>
        </w:rPr>
        <w:t>1</w:t>
      </w:r>
      <w:r>
        <w:rPr>
          <w:rFonts w:hint="eastAsia" w:cs="Times New Roman"/>
        </w:rPr>
        <w:t>级值”，与</w:t>
      </w:r>
      <w:r>
        <w:rPr>
          <w:rFonts w:cs="Times New Roman"/>
        </w:rPr>
        <w:t>DB31/T 1144</w:t>
      </w:r>
      <w:r>
        <w:rPr>
          <w:rFonts w:hint="eastAsia" w:cs="Times New Roman"/>
        </w:rPr>
        <w:t>规定的标杆值基本接近；本标准单位乙烯产品碳排放、单位双烯产品碳排放前</w:t>
      </w:r>
      <w:r>
        <w:rPr>
          <w:rFonts w:cs="Times New Roman"/>
        </w:rPr>
        <w:t>30%分位数平均值对应三类指标的“2级值”，</w:t>
      </w:r>
      <w:r>
        <w:rPr>
          <w:rFonts w:hint="eastAsia" w:cs="Times New Roman"/>
        </w:rPr>
        <w:t>略低于</w:t>
      </w:r>
      <w:r>
        <w:rPr>
          <w:rFonts w:cs="Times New Roman"/>
        </w:rPr>
        <w:t>DB31/T 1144规定的</w:t>
      </w:r>
      <w:r>
        <w:rPr>
          <w:rFonts w:hint="eastAsia" w:cs="Times New Roman"/>
        </w:rPr>
        <w:t>典型</w:t>
      </w:r>
      <w:r>
        <w:rPr>
          <w:rFonts w:cs="Times New Roman"/>
        </w:rPr>
        <w:t>值</w:t>
      </w:r>
      <w:r>
        <w:rPr>
          <w:rFonts w:hint="eastAsia" w:cs="Times New Roman"/>
        </w:rPr>
        <w:t xml:space="preserve">。说明本标准规定的碳排放指标总体是合理的，能够体现和代表国内乙烯行业碳排放发展水平。 </w:t>
      </w:r>
    </w:p>
    <w:p w14:paraId="1D3310DE">
      <w:pPr>
        <w:pStyle w:val="2"/>
        <w:spacing w:before="156" w:after="156"/>
      </w:pPr>
      <w:r>
        <w:rPr>
          <w:rFonts w:hint="eastAsia"/>
        </w:rPr>
        <w:t>与国际、国外同类标准水平的对比情况</w:t>
      </w:r>
    </w:p>
    <w:p w14:paraId="04DCFB13">
      <w:pPr>
        <w:pStyle w:val="3"/>
        <w:spacing w:before="156" w:after="156"/>
      </w:pPr>
      <w:r>
        <w:rPr>
          <w:rFonts w:hint="eastAsia"/>
        </w:rPr>
        <w:t>核算边界对比情况</w:t>
      </w:r>
    </w:p>
    <w:p w14:paraId="215BD0D5">
      <w:pPr>
        <w:pStyle w:val="17"/>
        <w:ind w:firstLine="480"/>
      </w:pPr>
      <w:r>
        <w:rPr>
          <w:rFonts w:hint="eastAsia"/>
        </w:rPr>
        <w:t>欧盟</w:t>
      </w:r>
      <w:r>
        <w:t>Guidance Document n°9 on the harmonised free allocation methodology for the EU-ETS post 2020</w:t>
      </w:r>
      <w:r>
        <w:rPr>
          <w:rFonts w:hint="eastAsia"/>
        </w:rPr>
        <w:t>规定乙烯装置碳排放核算边界为：</w:t>
      </w:r>
    </w:p>
    <w:p w14:paraId="43E4D493">
      <w:pPr>
        <w:pStyle w:val="17"/>
        <w:ind w:firstLine="480"/>
      </w:pPr>
      <w:r>
        <w:t>All processes directly or indirectly linked to the production of high value chemicals as purified product or intermediate product with concentrated content of the respective HVC in the lowest tradable form (raw C4, unhydrogenated pygas) are included except C4 extraction (butadiene plant), C4-hydrogenation, hydrotreating of pyrolysis gasoline &amp; aromatics extraction and logistics/storage for daily operation. For the determination of indirect emissions, the total electricity consumption within the system boundaries shall be considered.</w:t>
      </w:r>
    </w:p>
    <w:p w14:paraId="3CBBE9E3">
      <w:pPr>
        <w:pStyle w:val="17"/>
        <w:ind w:firstLine="480"/>
      </w:pPr>
      <w:r>
        <w:rPr>
          <w:rFonts w:hint="eastAsia"/>
        </w:rPr>
        <w:t>即：</w:t>
      </w:r>
      <w:r>
        <w:t>生产高</w:t>
      </w:r>
      <w:r>
        <w:rPr>
          <w:rFonts w:hint="eastAsia"/>
        </w:rPr>
        <w:t>附加值产品</w:t>
      </w:r>
      <w:r>
        <w:t>直接或间接相关的所有工艺，如纯化产品或中间产品，其中各HVC含量最低的可交易形式（粗C4、未加氢的热解气）</w:t>
      </w:r>
      <w:r>
        <w:rPr>
          <w:rFonts w:hint="eastAsia"/>
        </w:rPr>
        <w:t>，不包括</w:t>
      </w:r>
      <w:r>
        <w:t>C4</w:t>
      </w:r>
      <w:r>
        <w:rPr>
          <w:rFonts w:hint="eastAsia"/>
        </w:rPr>
        <w:t>抽提</w:t>
      </w:r>
      <w:r>
        <w:t>（丁二烯装置）、C4加氢、</w:t>
      </w:r>
      <w:r>
        <w:rPr>
          <w:rFonts w:hint="eastAsia"/>
        </w:rPr>
        <w:t>裂解</w:t>
      </w:r>
      <w:r>
        <w:t>汽油加氢和芳烃</w:t>
      </w:r>
      <w:r>
        <w:rPr>
          <w:rFonts w:hint="eastAsia"/>
        </w:rPr>
        <w:t>抽提，</w:t>
      </w:r>
      <w:r>
        <w:t>以及物流/储</w:t>
      </w:r>
      <w:r>
        <w:rPr>
          <w:rFonts w:hint="eastAsia"/>
        </w:rPr>
        <w:t>运</w:t>
      </w:r>
      <w:r>
        <w:t>。</w:t>
      </w:r>
    </w:p>
    <w:p w14:paraId="22218B8F">
      <w:pPr>
        <w:pStyle w:val="17"/>
        <w:ind w:firstLine="480"/>
      </w:pPr>
      <w:r>
        <w:rPr>
          <w:rFonts w:hint="eastAsia"/>
        </w:rPr>
        <w:t>本标准参考《碳排放核算与报告要求</w:t>
      </w:r>
      <w:r>
        <w:t xml:space="preserve"> 第15部分：石油化工企业》（GB/T 32151.15-2023）</w:t>
      </w:r>
      <w:r>
        <w:rPr>
          <w:rFonts w:hint="eastAsia"/>
        </w:rPr>
        <w:t>规定了乙烯装置核算边界：包括原料脱硫和脱砷、裂解炉区、急冷区、压缩区、分离区和火炬气回收压缩机、乙烯产品储罐等单元，不包括裂解汽油加氢、辅助锅炉、主火炬、废碱处理、其他产品储罐、循环水场、空压站等单元。</w:t>
      </w:r>
    </w:p>
    <w:p w14:paraId="7FCE2917">
      <w:pPr>
        <w:pStyle w:val="17"/>
        <w:ind w:firstLine="480"/>
      </w:pPr>
      <w:r>
        <w:rPr>
          <w:rFonts w:hint="eastAsia"/>
        </w:rPr>
        <w:t>可见，本标准乙烯装置核算边界基本与欧盟是一致的，有利碳排放指标与欧盟对标。</w:t>
      </w:r>
    </w:p>
    <w:p w14:paraId="33069DFE">
      <w:pPr>
        <w:pStyle w:val="3"/>
        <w:spacing w:before="156" w:after="156"/>
      </w:pPr>
      <w:r>
        <w:rPr>
          <w:rFonts w:hint="eastAsia"/>
        </w:rPr>
        <w:t>碳排放指标对比情况</w:t>
      </w:r>
    </w:p>
    <w:p w14:paraId="40406796">
      <w:pPr>
        <w:pStyle w:val="17"/>
        <w:ind w:firstLine="480"/>
      </w:pPr>
      <w:r>
        <w:rPr>
          <w:rFonts w:hint="eastAsia"/>
        </w:rPr>
        <w:t>欧盟</w:t>
      </w:r>
      <w:r>
        <w:t>Commission Implementing Regulation (EU) 2021/447</w:t>
      </w:r>
      <w:r>
        <w:rPr>
          <w:rFonts w:hint="eastAsia"/>
        </w:rPr>
        <w:t>规定乙烯装置单位高附加值产品碳排放指标为0</w:t>
      </w:r>
      <w:r>
        <w:t>.693 t</w:t>
      </w:r>
      <w:r>
        <w:rPr>
          <w:vertAlign w:val="subscript"/>
        </w:rPr>
        <w:t>CO2</w:t>
      </w:r>
      <w:r>
        <w:t>/</w:t>
      </w:r>
      <w:r>
        <w:rPr>
          <w:rFonts w:hint="eastAsia"/>
        </w:rPr>
        <w:t>t</w:t>
      </w:r>
      <w:r>
        <w:rPr>
          <w:rFonts w:hint="eastAsia"/>
          <w:vertAlign w:val="subscript"/>
        </w:rPr>
        <w:t>高附</w:t>
      </w:r>
      <w:r>
        <w:rPr>
          <w:rFonts w:hint="eastAsia"/>
        </w:rPr>
        <w:t>（前1</w:t>
      </w:r>
      <w:r>
        <w:t>0</w:t>
      </w:r>
      <w:r>
        <w:rPr>
          <w:rFonts w:hint="eastAsia"/>
        </w:rPr>
        <w:t>%平均数</w:t>
      </w:r>
      <w:r>
        <w:t xml:space="preserve">Average value of the 10 % most efficient installations in 2016 and 2017 (t </w:t>
      </w:r>
      <w:r>
        <w:rPr>
          <w:vertAlign w:val="subscript"/>
        </w:rPr>
        <w:t>CO2</w:t>
      </w:r>
      <w:r>
        <w:t xml:space="preserve"> equivalents/t)</w:t>
      </w:r>
      <w:r>
        <w:rPr>
          <w:rFonts w:hint="eastAsia"/>
        </w:rPr>
        <w:t>）；乙烯装置2</w:t>
      </w:r>
      <w:r>
        <w:t>021</w:t>
      </w:r>
      <w:r>
        <w:rPr>
          <w:rFonts w:hint="eastAsia"/>
        </w:rPr>
        <w:t>~</w:t>
      </w:r>
      <w:r>
        <w:t>2025</w:t>
      </w:r>
      <w:r>
        <w:rPr>
          <w:rFonts w:hint="eastAsia"/>
        </w:rPr>
        <w:t>年单位高附加值产品碳排放基准值为</w:t>
      </w:r>
      <w:r>
        <w:t>0.681 t</w:t>
      </w:r>
      <w:r>
        <w:rPr>
          <w:vertAlign w:val="subscript"/>
        </w:rPr>
        <w:t>CO2</w:t>
      </w:r>
      <w:r>
        <w:t>/t</w:t>
      </w:r>
      <w:r>
        <w:rPr>
          <w:vertAlign w:val="subscript"/>
        </w:rPr>
        <w:t>高附</w:t>
      </w:r>
      <w:r>
        <w:t>（</w:t>
      </w:r>
      <w:r>
        <w:rPr>
          <w:rFonts w:hint="eastAsia"/>
        </w:rPr>
        <w:t>允许值a</w:t>
      </w:r>
      <w:r>
        <w:t>llowances</w:t>
      </w:r>
      <w:r>
        <w:rPr>
          <w:rFonts w:hint="eastAsia"/>
        </w:rPr>
        <w:t>）。</w:t>
      </w:r>
    </w:p>
    <w:p w14:paraId="4F83BBC0">
      <w:pPr>
        <w:pStyle w:val="17"/>
        <w:ind w:firstLine="480"/>
      </w:pPr>
      <w:r>
        <w:rPr>
          <w:rFonts w:hint="eastAsia" w:cs="Times New Roman"/>
        </w:rPr>
        <w:t>本标准规定乙烯装置</w:t>
      </w:r>
      <w:r>
        <w:rPr>
          <w:rFonts w:cs="Times New Roman"/>
        </w:rPr>
        <w:t>单位</w:t>
      </w:r>
      <w:r>
        <w:rPr>
          <w:rFonts w:hint="eastAsia" w:cs="Times New Roman"/>
        </w:rPr>
        <w:t>高附加值产品</w:t>
      </w:r>
      <w:r>
        <w:rPr>
          <w:rFonts w:cs="Times New Roman"/>
        </w:rPr>
        <w:t>碳排放</w:t>
      </w:r>
      <w:r>
        <w:rPr>
          <w:rFonts w:hint="eastAsia" w:cs="Times New Roman"/>
        </w:rPr>
        <w:t>强度“</w:t>
      </w:r>
      <w:r>
        <w:rPr>
          <w:rFonts w:cs="Times New Roman"/>
        </w:rPr>
        <w:t>1级</w:t>
      </w:r>
      <w:r>
        <w:rPr>
          <w:rFonts w:hint="eastAsia" w:cs="Times New Roman"/>
        </w:rPr>
        <w:t>值”</w:t>
      </w:r>
      <w:r>
        <w:rPr>
          <w:rFonts w:hint="eastAsia"/>
        </w:rPr>
        <w:t>（前</w:t>
      </w:r>
      <w:r>
        <w:t>10%</w:t>
      </w:r>
      <w:r>
        <w:rPr>
          <w:rFonts w:hint="eastAsia"/>
        </w:rPr>
        <w:t>平均值）为</w:t>
      </w:r>
      <w:r>
        <w:t>0.60</w:t>
      </w:r>
      <w:r>
        <w:rPr>
          <w:vertAlign w:val="subscript"/>
        </w:rPr>
        <w:t>CO2</w:t>
      </w:r>
      <w:r>
        <w:t>/</w:t>
      </w:r>
      <w:r>
        <w:rPr>
          <w:rFonts w:hint="eastAsia"/>
        </w:rPr>
        <w:t>t</w:t>
      </w:r>
      <w:r>
        <w:rPr>
          <w:rFonts w:hint="eastAsia"/>
          <w:vertAlign w:val="subscript"/>
        </w:rPr>
        <w:t>高附</w:t>
      </w:r>
      <w:r>
        <w:rPr>
          <w:rFonts w:hint="eastAsia"/>
        </w:rPr>
        <w:t>，</w:t>
      </w:r>
      <w:r>
        <w:rPr>
          <w:rFonts w:hint="eastAsia" w:cs="Times New Roman"/>
        </w:rPr>
        <w:t>“</w:t>
      </w:r>
      <w:r>
        <w:rPr>
          <w:rFonts w:cs="Times New Roman"/>
        </w:rPr>
        <w:t>2级</w:t>
      </w:r>
      <w:r>
        <w:rPr>
          <w:rFonts w:hint="eastAsia" w:cs="Times New Roman"/>
        </w:rPr>
        <w:t>值”</w:t>
      </w:r>
      <w:r>
        <w:rPr>
          <w:rFonts w:hint="eastAsia"/>
        </w:rPr>
        <w:t>（前</w:t>
      </w:r>
      <w:r>
        <w:t>30%</w:t>
      </w:r>
      <w:r>
        <w:rPr>
          <w:rFonts w:hint="eastAsia"/>
        </w:rPr>
        <w:t>平均值）为</w:t>
      </w:r>
      <w:r>
        <w:t>0.67t</w:t>
      </w:r>
      <w:r>
        <w:rPr>
          <w:vertAlign w:val="subscript"/>
        </w:rPr>
        <w:t>CO2</w:t>
      </w:r>
      <w:r>
        <w:t>/</w:t>
      </w:r>
      <w:r>
        <w:rPr>
          <w:rFonts w:hint="eastAsia"/>
        </w:rPr>
        <w:t>t</w:t>
      </w:r>
      <w:r>
        <w:rPr>
          <w:rFonts w:hint="eastAsia"/>
          <w:vertAlign w:val="subscript"/>
        </w:rPr>
        <w:t>高附</w:t>
      </w:r>
      <w:r>
        <w:rPr>
          <w:rFonts w:hint="eastAsia"/>
        </w:rPr>
        <w:t>，</w:t>
      </w:r>
      <w:r>
        <w:rPr>
          <w:rFonts w:hint="eastAsia" w:cs="Times New Roman"/>
        </w:rPr>
        <w:t>“</w:t>
      </w:r>
      <w:r>
        <w:rPr>
          <w:rFonts w:cs="Times New Roman"/>
        </w:rPr>
        <w:t>3级</w:t>
      </w:r>
      <w:r>
        <w:rPr>
          <w:rFonts w:hint="eastAsia" w:cs="Times New Roman"/>
        </w:rPr>
        <w:t>值”</w:t>
      </w:r>
      <w:r>
        <w:rPr>
          <w:rFonts w:hint="eastAsia"/>
        </w:rPr>
        <w:t>（前</w:t>
      </w:r>
      <w:r>
        <w:t>70%</w:t>
      </w:r>
      <w:r>
        <w:rPr>
          <w:rFonts w:hint="eastAsia"/>
        </w:rPr>
        <w:t>平均值）为</w:t>
      </w:r>
      <w:r>
        <w:t>0.77t</w:t>
      </w:r>
      <w:r>
        <w:rPr>
          <w:vertAlign w:val="subscript"/>
        </w:rPr>
        <w:t>CO2</w:t>
      </w:r>
      <w:r>
        <w:t>/</w:t>
      </w:r>
      <w:r>
        <w:rPr>
          <w:rFonts w:hint="eastAsia"/>
        </w:rPr>
        <w:t>t</w:t>
      </w:r>
      <w:r>
        <w:rPr>
          <w:rFonts w:hint="eastAsia"/>
          <w:vertAlign w:val="subscript"/>
        </w:rPr>
        <w:t>高附</w:t>
      </w:r>
      <w:r>
        <w:rPr>
          <w:rFonts w:hint="eastAsia"/>
        </w:rPr>
        <w:t>。</w:t>
      </w:r>
    </w:p>
    <w:p w14:paraId="56E7D449">
      <w:pPr>
        <w:pStyle w:val="17"/>
        <w:ind w:firstLine="480"/>
      </w:pPr>
      <w:r>
        <w:rPr>
          <w:rFonts w:hint="eastAsia" w:cs="Times New Roman"/>
        </w:rPr>
        <w:t>“</w:t>
      </w:r>
      <w:r>
        <w:rPr>
          <w:rFonts w:cs="Times New Roman"/>
        </w:rPr>
        <w:t>2级</w:t>
      </w:r>
      <w:r>
        <w:rPr>
          <w:rFonts w:hint="eastAsia" w:cs="Times New Roman"/>
        </w:rPr>
        <w:t>值”</w:t>
      </w:r>
      <w:r>
        <w:rPr>
          <w:rFonts w:hint="eastAsia"/>
        </w:rPr>
        <w:t>（前</w:t>
      </w:r>
      <w:r>
        <w:t>30%</w:t>
      </w:r>
      <w:r>
        <w:rPr>
          <w:rFonts w:hint="eastAsia"/>
        </w:rPr>
        <w:t>平均值）指标与欧盟指标非常接近且略低，说明指标的确定有其合理性，能代表国内乙烯行业碳排放水平。同时有利于乙烯企业对标欧盟标准，进一步降低碳排放。</w:t>
      </w:r>
    </w:p>
    <w:p w14:paraId="5D54071B">
      <w:pPr>
        <w:pStyle w:val="2"/>
        <w:spacing w:before="156" w:after="156"/>
      </w:pPr>
      <w:r>
        <w:rPr>
          <w:rFonts w:hint="eastAsia"/>
        </w:rPr>
        <w:t>与现行法律、法规和强制性标准的关系</w:t>
      </w:r>
    </w:p>
    <w:p w14:paraId="7BA18387">
      <w:pPr>
        <w:pStyle w:val="17"/>
        <w:ind w:firstLine="480"/>
      </w:pPr>
      <w:r>
        <w:rPr>
          <w:rFonts w:hint="eastAsia"/>
        </w:rPr>
        <w:t>至标准编制之日尚未发现与计划编制标准相冲突的现行法律、法规和强制性国家标准。</w:t>
      </w:r>
    </w:p>
    <w:p w14:paraId="7E3FC162">
      <w:pPr>
        <w:pStyle w:val="2"/>
        <w:spacing w:before="156" w:after="156"/>
      </w:pPr>
      <w:r>
        <w:rPr>
          <w:rFonts w:hint="eastAsia"/>
        </w:rPr>
        <w:t>重大分歧意见的处理</w:t>
      </w:r>
    </w:p>
    <w:p w14:paraId="6EEAC9CE">
      <w:pPr>
        <w:pStyle w:val="17"/>
        <w:ind w:firstLine="480"/>
      </w:pPr>
      <w:r>
        <w:rPr>
          <w:rFonts w:hint="eastAsia"/>
        </w:rPr>
        <w:t>暂无。</w:t>
      </w:r>
    </w:p>
    <w:p w14:paraId="404CD1C2">
      <w:pPr>
        <w:pStyle w:val="2"/>
        <w:spacing w:before="156" w:after="156"/>
      </w:pPr>
      <w:r>
        <w:rPr>
          <w:rFonts w:hint="eastAsia"/>
        </w:rPr>
        <w:t>其他应予以说明的事项</w:t>
      </w:r>
    </w:p>
    <w:p w14:paraId="5E17C4EF">
      <w:pPr>
        <w:pStyle w:val="17"/>
        <w:ind w:firstLine="480"/>
      </w:pPr>
      <w:r>
        <w:rPr>
          <w:rFonts w:hint="eastAsia"/>
        </w:rPr>
        <w:t>建议本标准发布实施后，对乙烯企业或建设项目CO</w:t>
      </w:r>
      <w:r>
        <w:rPr>
          <w:rFonts w:hint="eastAsia"/>
          <w:vertAlign w:val="subscript"/>
        </w:rPr>
        <w:t>2</w:t>
      </w:r>
      <w:r>
        <w:rPr>
          <w:rFonts w:hint="eastAsia"/>
        </w:rPr>
        <w:t>排放水平、降碳技术和措施的应用情况等进行持续跟踪并更新相应数据，适时修订本标准。</w:t>
      </w:r>
    </w:p>
    <w:p w14:paraId="3D25A3D8">
      <w:pPr>
        <w:pStyle w:val="17"/>
        <w:ind w:firstLine="480"/>
      </w:pPr>
      <w:r>
        <w:rPr>
          <w:rFonts w:hint="eastAsia"/>
        </w:rPr>
        <w:t>目前本标准核算边界与上海地标</w:t>
      </w:r>
      <w:r>
        <w:t>DB31/T 1144</w:t>
      </w:r>
      <w:r>
        <w:rPr>
          <w:rFonts w:hint="eastAsia"/>
        </w:rPr>
        <w:t>-</w:t>
      </w:r>
      <w:r>
        <w:t>2019</w:t>
      </w:r>
      <w:r>
        <w:rPr>
          <w:rFonts w:hint="eastAsia"/>
        </w:rPr>
        <w:t>、</w:t>
      </w:r>
      <w:r>
        <w:t>GB 30251</w:t>
      </w:r>
      <w:r>
        <w:rPr>
          <w:rFonts w:hint="eastAsia"/>
        </w:rPr>
        <w:t>-</w:t>
      </w:r>
      <w:r>
        <w:t>2024</w:t>
      </w:r>
      <w:r>
        <w:rPr>
          <w:rFonts w:hint="eastAsia"/>
        </w:rPr>
        <w:t>中乙烯装置能耗核算边界一致的。但与欧盟乙烯装置碳排放核算边界在火炬排放、循环水排放方面不同，考虑到未来与国际接轨和对标，后续将重点调研将火炬排放、循环水排放量及占比，结合国情探讨纳入基准核算边界的可行性，根据调研结果适时调整核算边界。</w:t>
      </w:r>
    </w:p>
    <w:p w14:paraId="50EAED46">
      <w:pPr>
        <w:pStyle w:val="17"/>
        <w:ind w:firstLine="480"/>
      </w:pPr>
      <w:r>
        <w:rPr>
          <w:rFonts w:hint="eastAsia"/>
        </w:rPr>
        <w:t>建议实时跟踪美国和欧盟等发达国家地区相关行业和产品碳排放核算和基准制订的方法，针对目前标准制订存在的技术问题开展进一步的研究，适时将本标准上升为行业或国家标准。</w:t>
      </w:r>
    </w:p>
    <w:p w14:paraId="5F9D7836">
      <w:pPr>
        <w:pStyle w:val="17"/>
        <w:ind w:firstLine="48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EC45CD"/>
    <w:multiLevelType w:val="multilevel"/>
    <w:tmpl w:val="4CEC45CD"/>
    <w:lvl w:ilvl="0" w:tentative="0">
      <w:start w:val="1"/>
      <w:numFmt w:val="decimal"/>
      <w:pStyle w:val="2"/>
      <w:lvlText w:val="%1"/>
      <w:lvlJc w:val="left"/>
      <w:pPr>
        <w:tabs>
          <w:tab w:val="left" w:pos="454"/>
        </w:tabs>
        <w:ind w:left="0" w:firstLine="0"/>
      </w:pPr>
      <w:rPr>
        <w:rFonts w:hint="eastAsia"/>
      </w:rPr>
    </w:lvl>
    <w:lvl w:ilvl="1" w:tentative="0">
      <w:start w:val="1"/>
      <w:numFmt w:val="decimal"/>
      <w:pStyle w:val="3"/>
      <w:lvlText w:val="%1.%2"/>
      <w:lvlJc w:val="left"/>
      <w:pPr>
        <w:tabs>
          <w:tab w:val="left" w:pos="0"/>
        </w:tabs>
        <w:ind w:left="0" w:firstLine="0"/>
      </w:pPr>
      <w:rPr>
        <w:rFonts w:hint="eastAsia"/>
      </w:rPr>
    </w:lvl>
    <w:lvl w:ilvl="2" w:tentative="0">
      <w:start w:val="1"/>
      <w:numFmt w:val="decimal"/>
      <w:pStyle w:val="4"/>
      <w:lvlText w:val="%1.%2.%3"/>
      <w:lvlJc w:val="left"/>
      <w:pPr>
        <w:tabs>
          <w:tab w:val="left" w:pos="720"/>
        </w:tabs>
        <w:ind w:left="720" w:hanging="720"/>
      </w:pPr>
      <w:rPr>
        <w:rFonts w:hint="default" w:ascii="Times New Roman" w:hAnsi="Times New Roman" w:cs="Times New Roman"/>
      </w:rPr>
    </w:lvl>
    <w:lvl w:ilvl="3" w:tentative="0">
      <w:start w:val="1"/>
      <w:numFmt w:val="decimal"/>
      <w:pStyle w:val="5"/>
      <w:lvlText w:val="%1.%2.%3.%4"/>
      <w:lvlJc w:val="left"/>
      <w:pPr>
        <w:tabs>
          <w:tab w:val="left" w:pos="864"/>
        </w:tabs>
        <w:ind w:left="864" w:hanging="86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787B5C53"/>
    <w:multiLevelType w:val="multilevel"/>
    <w:tmpl w:val="787B5C53"/>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M5MDc5ODI1MzhiMWIxYWNkZTEzNzJjYjBkZjQwZDgifQ=="/>
  </w:docVars>
  <w:rsids>
    <w:rsidRoot w:val="0083461B"/>
    <w:rsid w:val="000102FF"/>
    <w:rsid w:val="00010BB1"/>
    <w:rsid w:val="00014BF8"/>
    <w:rsid w:val="00015558"/>
    <w:rsid w:val="000317D1"/>
    <w:rsid w:val="00035385"/>
    <w:rsid w:val="00036993"/>
    <w:rsid w:val="00057B80"/>
    <w:rsid w:val="0006001F"/>
    <w:rsid w:val="00063FD1"/>
    <w:rsid w:val="00073B27"/>
    <w:rsid w:val="00073EEA"/>
    <w:rsid w:val="00074E10"/>
    <w:rsid w:val="00084E9D"/>
    <w:rsid w:val="00092D8B"/>
    <w:rsid w:val="0009408D"/>
    <w:rsid w:val="000B2760"/>
    <w:rsid w:val="000C1842"/>
    <w:rsid w:val="000D0CC9"/>
    <w:rsid w:val="000E7171"/>
    <w:rsid w:val="0010686D"/>
    <w:rsid w:val="001137FB"/>
    <w:rsid w:val="00115DFB"/>
    <w:rsid w:val="00123257"/>
    <w:rsid w:val="00123E15"/>
    <w:rsid w:val="00127349"/>
    <w:rsid w:val="001316B4"/>
    <w:rsid w:val="00147981"/>
    <w:rsid w:val="00166DB6"/>
    <w:rsid w:val="001814AE"/>
    <w:rsid w:val="00184405"/>
    <w:rsid w:val="00191B32"/>
    <w:rsid w:val="001A3DBC"/>
    <w:rsid w:val="001C718F"/>
    <w:rsid w:val="001D5B78"/>
    <w:rsid w:val="00201AE1"/>
    <w:rsid w:val="002021EF"/>
    <w:rsid w:val="002104E3"/>
    <w:rsid w:val="002138EE"/>
    <w:rsid w:val="002262B1"/>
    <w:rsid w:val="002441D3"/>
    <w:rsid w:val="00244D36"/>
    <w:rsid w:val="002610B2"/>
    <w:rsid w:val="00264B3F"/>
    <w:rsid w:val="00267211"/>
    <w:rsid w:val="00282779"/>
    <w:rsid w:val="002879B5"/>
    <w:rsid w:val="00294D3D"/>
    <w:rsid w:val="0029572C"/>
    <w:rsid w:val="002A26BE"/>
    <w:rsid w:val="002B2DF9"/>
    <w:rsid w:val="002B51F2"/>
    <w:rsid w:val="002B68F2"/>
    <w:rsid w:val="002E051C"/>
    <w:rsid w:val="002E0EFF"/>
    <w:rsid w:val="002E11D1"/>
    <w:rsid w:val="002F051E"/>
    <w:rsid w:val="0030315B"/>
    <w:rsid w:val="00305245"/>
    <w:rsid w:val="003072C9"/>
    <w:rsid w:val="00313785"/>
    <w:rsid w:val="00320460"/>
    <w:rsid w:val="0032259A"/>
    <w:rsid w:val="00324C1F"/>
    <w:rsid w:val="00341702"/>
    <w:rsid w:val="00347539"/>
    <w:rsid w:val="00361890"/>
    <w:rsid w:val="00365FC3"/>
    <w:rsid w:val="00393506"/>
    <w:rsid w:val="003A0025"/>
    <w:rsid w:val="003B2057"/>
    <w:rsid w:val="003B3117"/>
    <w:rsid w:val="003C63C9"/>
    <w:rsid w:val="003D6540"/>
    <w:rsid w:val="003E4DFB"/>
    <w:rsid w:val="003F770C"/>
    <w:rsid w:val="00403584"/>
    <w:rsid w:val="00404FCA"/>
    <w:rsid w:val="004072F4"/>
    <w:rsid w:val="00407307"/>
    <w:rsid w:val="00413A81"/>
    <w:rsid w:val="00426503"/>
    <w:rsid w:val="004271E1"/>
    <w:rsid w:val="00436083"/>
    <w:rsid w:val="004449ED"/>
    <w:rsid w:val="00444F76"/>
    <w:rsid w:val="00453FA1"/>
    <w:rsid w:val="004561FA"/>
    <w:rsid w:val="00457BCC"/>
    <w:rsid w:val="00490512"/>
    <w:rsid w:val="0049298C"/>
    <w:rsid w:val="004A1624"/>
    <w:rsid w:val="004A68AD"/>
    <w:rsid w:val="004B43AA"/>
    <w:rsid w:val="004B6314"/>
    <w:rsid w:val="004C4694"/>
    <w:rsid w:val="004C476D"/>
    <w:rsid w:val="004D19FB"/>
    <w:rsid w:val="004D7DCC"/>
    <w:rsid w:val="004E12AC"/>
    <w:rsid w:val="004F7E14"/>
    <w:rsid w:val="00504296"/>
    <w:rsid w:val="00514BD3"/>
    <w:rsid w:val="00517531"/>
    <w:rsid w:val="00527DB4"/>
    <w:rsid w:val="00530211"/>
    <w:rsid w:val="0054299C"/>
    <w:rsid w:val="00552B54"/>
    <w:rsid w:val="0055450D"/>
    <w:rsid w:val="0055662D"/>
    <w:rsid w:val="00561C66"/>
    <w:rsid w:val="00563F33"/>
    <w:rsid w:val="0057054B"/>
    <w:rsid w:val="0057073B"/>
    <w:rsid w:val="005723FE"/>
    <w:rsid w:val="00575567"/>
    <w:rsid w:val="00593226"/>
    <w:rsid w:val="00593CB4"/>
    <w:rsid w:val="00594712"/>
    <w:rsid w:val="00594D75"/>
    <w:rsid w:val="0059653B"/>
    <w:rsid w:val="005B6F88"/>
    <w:rsid w:val="005F2894"/>
    <w:rsid w:val="00612B80"/>
    <w:rsid w:val="006157F5"/>
    <w:rsid w:val="0062065E"/>
    <w:rsid w:val="0062602B"/>
    <w:rsid w:val="006314DC"/>
    <w:rsid w:val="00632DDF"/>
    <w:rsid w:val="00633BF5"/>
    <w:rsid w:val="00642D34"/>
    <w:rsid w:val="00643635"/>
    <w:rsid w:val="00666D2F"/>
    <w:rsid w:val="006676CB"/>
    <w:rsid w:val="006750D7"/>
    <w:rsid w:val="00680E61"/>
    <w:rsid w:val="006A4421"/>
    <w:rsid w:val="006B0809"/>
    <w:rsid w:val="006B603A"/>
    <w:rsid w:val="006C2B36"/>
    <w:rsid w:val="006D221E"/>
    <w:rsid w:val="006D2620"/>
    <w:rsid w:val="006D49B3"/>
    <w:rsid w:val="006D5218"/>
    <w:rsid w:val="006E2527"/>
    <w:rsid w:val="006F0DBF"/>
    <w:rsid w:val="00702A6A"/>
    <w:rsid w:val="00712E53"/>
    <w:rsid w:val="00713B5F"/>
    <w:rsid w:val="00724070"/>
    <w:rsid w:val="00725EFC"/>
    <w:rsid w:val="00735C05"/>
    <w:rsid w:val="00737AEF"/>
    <w:rsid w:val="00755A0B"/>
    <w:rsid w:val="007618F5"/>
    <w:rsid w:val="007648A1"/>
    <w:rsid w:val="00775D0B"/>
    <w:rsid w:val="00781C63"/>
    <w:rsid w:val="0079046B"/>
    <w:rsid w:val="007A1247"/>
    <w:rsid w:val="007B5E13"/>
    <w:rsid w:val="007C061F"/>
    <w:rsid w:val="007C2423"/>
    <w:rsid w:val="007C3CE1"/>
    <w:rsid w:val="007E5532"/>
    <w:rsid w:val="007F08E2"/>
    <w:rsid w:val="007F5A0E"/>
    <w:rsid w:val="00814289"/>
    <w:rsid w:val="00826907"/>
    <w:rsid w:val="0082738F"/>
    <w:rsid w:val="00831876"/>
    <w:rsid w:val="0083461B"/>
    <w:rsid w:val="00836563"/>
    <w:rsid w:val="008425CF"/>
    <w:rsid w:val="00843BDD"/>
    <w:rsid w:val="00847133"/>
    <w:rsid w:val="00862655"/>
    <w:rsid w:val="00881553"/>
    <w:rsid w:val="00883A91"/>
    <w:rsid w:val="00885991"/>
    <w:rsid w:val="00887B51"/>
    <w:rsid w:val="008A2AA5"/>
    <w:rsid w:val="008C3B4A"/>
    <w:rsid w:val="008C739D"/>
    <w:rsid w:val="00906207"/>
    <w:rsid w:val="00912200"/>
    <w:rsid w:val="0091612F"/>
    <w:rsid w:val="00917059"/>
    <w:rsid w:val="009276E3"/>
    <w:rsid w:val="009351D8"/>
    <w:rsid w:val="009500A6"/>
    <w:rsid w:val="00965A1C"/>
    <w:rsid w:val="00984056"/>
    <w:rsid w:val="0099132A"/>
    <w:rsid w:val="009974A2"/>
    <w:rsid w:val="009A19AC"/>
    <w:rsid w:val="009B28C3"/>
    <w:rsid w:val="009C5536"/>
    <w:rsid w:val="009C7BBB"/>
    <w:rsid w:val="009D5B3A"/>
    <w:rsid w:val="00A060B9"/>
    <w:rsid w:val="00A11894"/>
    <w:rsid w:val="00A22102"/>
    <w:rsid w:val="00A3561C"/>
    <w:rsid w:val="00A611EE"/>
    <w:rsid w:val="00A65C00"/>
    <w:rsid w:val="00A76B05"/>
    <w:rsid w:val="00A919C6"/>
    <w:rsid w:val="00AB10DB"/>
    <w:rsid w:val="00AB3DF3"/>
    <w:rsid w:val="00AD0124"/>
    <w:rsid w:val="00AE6819"/>
    <w:rsid w:val="00AF2ECD"/>
    <w:rsid w:val="00B23475"/>
    <w:rsid w:val="00B26AAA"/>
    <w:rsid w:val="00B333DF"/>
    <w:rsid w:val="00B36014"/>
    <w:rsid w:val="00B534A2"/>
    <w:rsid w:val="00B638FA"/>
    <w:rsid w:val="00B66DE5"/>
    <w:rsid w:val="00B731ED"/>
    <w:rsid w:val="00B7565B"/>
    <w:rsid w:val="00B80028"/>
    <w:rsid w:val="00B80113"/>
    <w:rsid w:val="00B840BD"/>
    <w:rsid w:val="00BA7261"/>
    <w:rsid w:val="00BB5511"/>
    <w:rsid w:val="00BF45DC"/>
    <w:rsid w:val="00BF46D1"/>
    <w:rsid w:val="00BF7C75"/>
    <w:rsid w:val="00C106A5"/>
    <w:rsid w:val="00C121A4"/>
    <w:rsid w:val="00C12BF7"/>
    <w:rsid w:val="00C416B3"/>
    <w:rsid w:val="00C73EBA"/>
    <w:rsid w:val="00C85FE8"/>
    <w:rsid w:val="00C927AE"/>
    <w:rsid w:val="00CA24D6"/>
    <w:rsid w:val="00CA7B06"/>
    <w:rsid w:val="00CB36C4"/>
    <w:rsid w:val="00CB7FE0"/>
    <w:rsid w:val="00CC3F50"/>
    <w:rsid w:val="00CC4A96"/>
    <w:rsid w:val="00CC73A1"/>
    <w:rsid w:val="00CD5222"/>
    <w:rsid w:val="00CE0BB8"/>
    <w:rsid w:val="00CE1FB9"/>
    <w:rsid w:val="00CE2C16"/>
    <w:rsid w:val="00CE3B0D"/>
    <w:rsid w:val="00CF0EF1"/>
    <w:rsid w:val="00CF5401"/>
    <w:rsid w:val="00CF7409"/>
    <w:rsid w:val="00D1569D"/>
    <w:rsid w:val="00D174C6"/>
    <w:rsid w:val="00D32B57"/>
    <w:rsid w:val="00D420A6"/>
    <w:rsid w:val="00D47A47"/>
    <w:rsid w:val="00D522EC"/>
    <w:rsid w:val="00D60CB7"/>
    <w:rsid w:val="00D6340C"/>
    <w:rsid w:val="00D82F36"/>
    <w:rsid w:val="00D9109E"/>
    <w:rsid w:val="00D93024"/>
    <w:rsid w:val="00D9551C"/>
    <w:rsid w:val="00DB3F6C"/>
    <w:rsid w:val="00DB5146"/>
    <w:rsid w:val="00DC065C"/>
    <w:rsid w:val="00DD055C"/>
    <w:rsid w:val="00DE767A"/>
    <w:rsid w:val="00E053A2"/>
    <w:rsid w:val="00E05715"/>
    <w:rsid w:val="00E27ECF"/>
    <w:rsid w:val="00E33823"/>
    <w:rsid w:val="00E47360"/>
    <w:rsid w:val="00E54940"/>
    <w:rsid w:val="00E56389"/>
    <w:rsid w:val="00E56CBF"/>
    <w:rsid w:val="00E64BDA"/>
    <w:rsid w:val="00E66862"/>
    <w:rsid w:val="00E741B7"/>
    <w:rsid w:val="00E774AE"/>
    <w:rsid w:val="00E93B49"/>
    <w:rsid w:val="00EC403A"/>
    <w:rsid w:val="00ED3091"/>
    <w:rsid w:val="00EF0259"/>
    <w:rsid w:val="00EF12BA"/>
    <w:rsid w:val="00EF40A0"/>
    <w:rsid w:val="00EF57AB"/>
    <w:rsid w:val="00EF595E"/>
    <w:rsid w:val="00F05C9D"/>
    <w:rsid w:val="00F21F15"/>
    <w:rsid w:val="00F23F68"/>
    <w:rsid w:val="00F244BD"/>
    <w:rsid w:val="00F462A7"/>
    <w:rsid w:val="00F508E0"/>
    <w:rsid w:val="00F61146"/>
    <w:rsid w:val="00F61695"/>
    <w:rsid w:val="00F6404D"/>
    <w:rsid w:val="00F64D01"/>
    <w:rsid w:val="00F70FEA"/>
    <w:rsid w:val="00F74E58"/>
    <w:rsid w:val="00F80B5E"/>
    <w:rsid w:val="00FA1F26"/>
    <w:rsid w:val="00FA5454"/>
    <w:rsid w:val="00FB7C20"/>
    <w:rsid w:val="00FD27E6"/>
    <w:rsid w:val="00FD5A9C"/>
    <w:rsid w:val="00FE0AC7"/>
    <w:rsid w:val="00FE7A62"/>
    <w:rsid w:val="00FF1A20"/>
    <w:rsid w:val="00FF44AE"/>
    <w:rsid w:val="00FF54F7"/>
    <w:rsid w:val="04F77B58"/>
    <w:rsid w:val="11CB522D"/>
    <w:rsid w:val="155901F1"/>
    <w:rsid w:val="1D6F5C49"/>
    <w:rsid w:val="31C4105A"/>
    <w:rsid w:val="3CA63395"/>
    <w:rsid w:val="55A718AE"/>
    <w:rsid w:val="578233B9"/>
    <w:rsid w:val="5AD40906"/>
    <w:rsid w:val="5CE16E2F"/>
    <w:rsid w:val="71D13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0"/>
    <w:pPr>
      <w:keepNext/>
      <w:keepLines/>
      <w:numPr>
        <w:ilvl w:val="0"/>
        <w:numId w:val="1"/>
      </w:numPr>
      <w:spacing w:before="50" w:beforeLines="50" w:after="50" w:afterLines="50" w:line="360" w:lineRule="auto"/>
      <w:outlineLvl w:val="0"/>
    </w:pPr>
    <w:rPr>
      <w:rFonts w:ascii="Times New Roman" w:hAnsi="Times New Roman" w:eastAsia="楷体_GB2312" w:cs="Times New Roman"/>
      <w:b/>
      <w:kern w:val="44"/>
      <w:sz w:val="44"/>
      <w:szCs w:val="21"/>
    </w:rPr>
  </w:style>
  <w:style w:type="paragraph" w:styleId="3">
    <w:name w:val="heading 2"/>
    <w:basedOn w:val="1"/>
    <w:next w:val="1"/>
    <w:link w:val="36"/>
    <w:qFormat/>
    <w:uiPriority w:val="0"/>
    <w:pPr>
      <w:keepNext/>
      <w:keepLines/>
      <w:numPr>
        <w:ilvl w:val="1"/>
        <w:numId w:val="1"/>
      </w:numPr>
      <w:tabs>
        <w:tab w:val="left" w:pos="454"/>
      </w:tabs>
      <w:spacing w:before="50" w:beforeLines="50" w:after="50" w:afterLines="50" w:line="360" w:lineRule="auto"/>
      <w:jc w:val="left"/>
      <w:outlineLvl w:val="1"/>
    </w:pPr>
    <w:rPr>
      <w:rFonts w:ascii="Times New Roman" w:hAnsi="Times New Roman" w:eastAsia="楷体_GB2312" w:cs="Times New Roman"/>
      <w:b/>
      <w:bCs/>
      <w:smallCaps/>
      <w:sz w:val="36"/>
      <w:szCs w:val="28"/>
    </w:rPr>
  </w:style>
  <w:style w:type="paragraph" w:styleId="4">
    <w:name w:val="heading 3"/>
    <w:basedOn w:val="1"/>
    <w:next w:val="1"/>
    <w:link w:val="37"/>
    <w:qFormat/>
    <w:uiPriority w:val="0"/>
    <w:pPr>
      <w:keepNext/>
      <w:keepLines/>
      <w:numPr>
        <w:ilvl w:val="2"/>
        <w:numId w:val="1"/>
      </w:numPr>
      <w:tabs>
        <w:tab w:val="left" w:pos="454"/>
      </w:tabs>
      <w:spacing w:before="50" w:beforeLines="50" w:after="50" w:afterLines="50" w:line="360" w:lineRule="auto"/>
      <w:outlineLvl w:val="2"/>
    </w:pPr>
    <w:rPr>
      <w:rFonts w:ascii="Times New Roman" w:hAnsi="Times New Roman" w:eastAsia="华文楷体" w:cs="Times New Roman"/>
      <w:b/>
      <w:bCs/>
      <w:sz w:val="32"/>
      <w:szCs w:val="21"/>
    </w:rPr>
  </w:style>
  <w:style w:type="paragraph" w:styleId="5">
    <w:name w:val="heading 4"/>
    <w:basedOn w:val="1"/>
    <w:next w:val="1"/>
    <w:link w:val="38"/>
    <w:qFormat/>
    <w:uiPriority w:val="0"/>
    <w:pPr>
      <w:numPr>
        <w:ilvl w:val="3"/>
        <w:numId w:val="1"/>
      </w:numPr>
      <w:tabs>
        <w:tab w:val="left" w:pos="454"/>
      </w:tabs>
      <w:adjustRightInd w:val="0"/>
      <w:spacing w:before="50" w:beforeLines="50" w:after="50" w:afterLines="50" w:line="360" w:lineRule="auto"/>
      <w:jc w:val="left"/>
      <w:textAlignment w:val="baseline"/>
      <w:outlineLvl w:val="3"/>
    </w:pPr>
    <w:rPr>
      <w:rFonts w:ascii="Times New Roman" w:hAnsi="Times New Roman" w:eastAsia="宋体" w:cs="Times New Roman"/>
      <w:b/>
      <w:bCs/>
      <w:smallCaps/>
      <w:sz w:val="28"/>
      <w:szCs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semiHidden/>
    <w:unhideWhenUsed/>
    <w:qFormat/>
    <w:uiPriority w:val="35"/>
    <w:rPr>
      <w:rFonts w:eastAsia="黑体" w:asciiTheme="majorHAnsi" w:hAnsiTheme="majorHAnsi" w:cstheme="majorBidi"/>
      <w:sz w:val="20"/>
      <w:szCs w:val="20"/>
    </w:rPr>
  </w:style>
  <w:style w:type="paragraph" w:styleId="7">
    <w:name w:val="annotation text"/>
    <w:basedOn w:val="1"/>
    <w:link w:val="41"/>
    <w:unhideWhenUsed/>
    <w:qFormat/>
    <w:uiPriority w:val="99"/>
    <w:pPr>
      <w:jc w:val="left"/>
    </w:pPr>
  </w:style>
  <w:style w:type="paragraph" w:styleId="8">
    <w:name w:val="Balloon Text"/>
    <w:basedOn w:val="1"/>
    <w:link w:val="43"/>
    <w:semiHidden/>
    <w:unhideWhenUsed/>
    <w:qFormat/>
    <w:uiPriority w:val="99"/>
    <w:rPr>
      <w:sz w:val="18"/>
      <w:szCs w:val="18"/>
    </w:rPr>
  </w:style>
  <w:style w:type="paragraph" w:styleId="9">
    <w:name w:val="footer"/>
    <w:basedOn w:val="1"/>
    <w:link w:val="31"/>
    <w:unhideWhenUsed/>
    <w:qFormat/>
    <w:uiPriority w:val="99"/>
    <w:pPr>
      <w:tabs>
        <w:tab w:val="center" w:pos="4153"/>
        <w:tab w:val="right" w:pos="8306"/>
      </w:tabs>
      <w:snapToGrid w:val="0"/>
      <w:jc w:val="left"/>
    </w:pPr>
    <w:rPr>
      <w:sz w:val="18"/>
      <w:szCs w:val="18"/>
    </w:rPr>
  </w:style>
  <w:style w:type="paragraph" w:styleId="10">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7"/>
    <w:next w:val="7"/>
    <w:link w:val="42"/>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semiHidden/>
    <w:unhideWhenUsed/>
    <w:qFormat/>
    <w:uiPriority w:val="99"/>
    <w:rPr>
      <w:color w:val="0000FF"/>
      <w:u w:val="single"/>
    </w:rPr>
  </w:style>
  <w:style w:type="character" w:styleId="16">
    <w:name w:val="annotation reference"/>
    <w:basedOn w:val="14"/>
    <w:semiHidden/>
    <w:unhideWhenUsed/>
    <w:qFormat/>
    <w:uiPriority w:val="99"/>
    <w:rPr>
      <w:sz w:val="21"/>
      <w:szCs w:val="21"/>
    </w:rPr>
  </w:style>
  <w:style w:type="paragraph" w:customStyle="1" w:styleId="17">
    <w:name w:val="A-z正文"/>
    <w:basedOn w:val="1"/>
    <w:link w:val="18"/>
    <w:qFormat/>
    <w:uiPriority w:val="0"/>
    <w:pPr>
      <w:spacing w:line="360" w:lineRule="auto"/>
      <w:ind w:firstLine="200" w:firstLineChars="200"/>
    </w:pPr>
    <w:rPr>
      <w:rFonts w:ascii="Times New Roman" w:hAnsi="Times New Roman" w:eastAsia="宋体" w:cs="宋体"/>
      <w:sz w:val="24"/>
      <w:szCs w:val="20"/>
    </w:rPr>
  </w:style>
  <w:style w:type="character" w:customStyle="1" w:styleId="18">
    <w:name w:val="A-z正文 Char"/>
    <w:basedOn w:val="14"/>
    <w:link w:val="17"/>
    <w:qFormat/>
    <w:uiPriority w:val="0"/>
    <w:rPr>
      <w:rFonts w:ascii="Times New Roman" w:hAnsi="Times New Roman" w:eastAsia="宋体" w:cs="宋体"/>
      <w:sz w:val="24"/>
      <w:szCs w:val="20"/>
    </w:rPr>
  </w:style>
  <w:style w:type="table" w:customStyle="1" w:styleId="19">
    <w:name w:val="A-表格属性"/>
    <w:basedOn w:val="12"/>
    <w:qFormat/>
    <w:uiPriority w:val="99"/>
    <w:pPr>
      <w:jc w:val="center"/>
    </w:p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
    <w:trPr>
      <w:tblHeader/>
    </w:trPr>
    <w:tcPr>
      <w:vAlign w:val="center"/>
    </w:tcPr>
  </w:style>
  <w:style w:type="paragraph" w:customStyle="1" w:styleId="20">
    <w:name w:val="A-表格文字"/>
    <w:basedOn w:val="1"/>
    <w:next w:val="17"/>
    <w:link w:val="21"/>
    <w:qFormat/>
    <w:uiPriority w:val="0"/>
    <w:pPr>
      <w:autoSpaceDE w:val="0"/>
      <w:autoSpaceDN w:val="0"/>
      <w:adjustRightInd w:val="0"/>
      <w:jc w:val="center"/>
      <w:textAlignment w:val="center"/>
    </w:pPr>
    <w:rPr>
      <w:rFonts w:ascii="Times New Roman" w:hAnsi="Times New Roman" w:eastAsia="宋体" w:cs="Times New Roman"/>
      <w:kern w:val="0"/>
      <w:szCs w:val="21"/>
    </w:rPr>
  </w:style>
  <w:style w:type="character" w:customStyle="1" w:styleId="21">
    <w:name w:val="A-表格文字 Char"/>
    <w:basedOn w:val="14"/>
    <w:link w:val="20"/>
    <w:qFormat/>
    <w:uiPriority w:val="0"/>
    <w:rPr>
      <w:rFonts w:ascii="Times New Roman" w:hAnsi="Times New Roman" w:eastAsia="宋体" w:cs="Times New Roman"/>
      <w:kern w:val="0"/>
      <w:szCs w:val="21"/>
    </w:rPr>
  </w:style>
  <w:style w:type="paragraph" w:customStyle="1" w:styleId="22">
    <w:name w:val="A-题注-表"/>
    <w:basedOn w:val="6"/>
    <w:link w:val="23"/>
    <w:qFormat/>
    <w:uiPriority w:val="0"/>
    <w:pPr>
      <w:spacing w:before="50" w:beforeLines="50" w:line="360" w:lineRule="auto"/>
      <w:jc w:val="center"/>
    </w:pPr>
    <w:rPr>
      <w:rFonts w:ascii="Times New Roman" w:hAnsi="Times New Roman" w:eastAsia="宋体" w:cs="Arial"/>
      <w:b/>
      <w:sz w:val="21"/>
    </w:rPr>
  </w:style>
  <w:style w:type="character" w:customStyle="1" w:styleId="23">
    <w:name w:val="A-题注-表 Char"/>
    <w:basedOn w:val="14"/>
    <w:link w:val="22"/>
    <w:qFormat/>
    <w:uiPriority w:val="0"/>
    <w:rPr>
      <w:rFonts w:ascii="Times New Roman" w:hAnsi="Times New Roman" w:eastAsia="宋体" w:cs="Arial"/>
      <w:b/>
      <w:szCs w:val="20"/>
    </w:rPr>
  </w:style>
  <w:style w:type="paragraph" w:customStyle="1" w:styleId="24">
    <w:name w:val="A-题注-图"/>
    <w:basedOn w:val="22"/>
    <w:link w:val="25"/>
    <w:qFormat/>
    <w:uiPriority w:val="0"/>
    <w:pPr>
      <w:spacing w:before="0" w:beforeLines="0" w:after="50" w:afterLines="50"/>
    </w:pPr>
  </w:style>
  <w:style w:type="character" w:customStyle="1" w:styleId="25">
    <w:name w:val="A-题注-图 Char"/>
    <w:basedOn w:val="23"/>
    <w:link w:val="24"/>
    <w:qFormat/>
    <w:uiPriority w:val="0"/>
    <w:rPr>
      <w:rFonts w:ascii="Times New Roman" w:hAnsi="Times New Roman" w:eastAsia="宋体" w:cs="Arial"/>
      <w:szCs w:val="20"/>
    </w:rPr>
  </w:style>
  <w:style w:type="paragraph" w:customStyle="1" w:styleId="26">
    <w:name w:val="A-尾注"/>
    <w:basedOn w:val="17"/>
    <w:link w:val="27"/>
    <w:qFormat/>
    <w:uiPriority w:val="0"/>
    <w:pPr>
      <w:spacing w:line="240" w:lineRule="auto"/>
      <w:ind w:firstLine="0" w:firstLineChars="0"/>
      <w:jc w:val="left"/>
    </w:pPr>
    <w:rPr>
      <w:rFonts w:cs="Times New Roman"/>
      <w:sz w:val="18"/>
    </w:rPr>
  </w:style>
  <w:style w:type="character" w:customStyle="1" w:styleId="27">
    <w:name w:val="A-尾注 Char"/>
    <w:basedOn w:val="18"/>
    <w:link w:val="26"/>
    <w:qFormat/>
    <w:uiPriority w:val="0"/>
    <w:rPr>
      <w:rFonts w:ascii="Times New Roman" w:hAnsi="Times New Roman" w:eastAsia="宋体" w:cs="Times New Roman"/>
      <w:sz w:val="18"/>
      <w:szCs w:val="20"/>
    </w:rPr>
  </w:style>
  <w:style w:type="paragraph" w:customStyle="1" w:styleId="28">
    <w:name w:val="A-问题已解决"/>
    <w:basedOn w:val="1"/>
    <w:qFormat/>
    <w:uiPriority w:val="0"/>
    <w:pPr>
      <w:spacing w:line="360" w:lineRule="auto"/>
      <w:ind w:firstLine="444" w:firstLineChars="200"/>
    </w:pPr>
    <w:rPr>
      <w:rFonts w:ascii="宋体" w:hAnsi="Times New Roman" w:eastAsia="宋体" w:cs="宋体"/>
      <w:strike/>
      <w:szCs w:val="21"/>
    </w:rPr>
  </w:style>
  <w:style w:type="paragraph" w:customStyle="1" w:styleId="29">
    <w:name w:val="A-页脚"/>
    <w:basedOn w:val="9"/>
    <w:link w:val="30"/>
    <w:qFormat/>
    <w:uiPriority w:val="0"/>
    <w:pPr>
      <w:ind w:firstLine="480"/>
    </w:pPr>
    <w:rPr>
      <w:rFonts w:ascii="Times New Roman" w:hAnsi="Times New Roman" w:eastAsia="宋体" w:cs="Times New Roman"/>
    </w:rPr>
  </w:style>
  <w:style w:type="character" w:customStyle="1" w:styleId="30">
    <w:name w:val="A-页脚 Char"/>
    <w:basedOn w:val="14"/>
    <w:link w:val="29"/>
    <w:qFormat/>
    <w:uiPriority w:val="0"/>
    <w:rPr>
      <w:rFonts w:ascii="Times New Roman" w:hAnsi="Times New Roman" w:eastAsia="宋体" w:cs="Times New Roman"/>
      <w:sz w:val="18"/>
      <w:szCs w:val="18"/>
    </w:rPr>
  </w:style>
  <w:style w:type="character" w:customStyle="1" w:styleId="31">
    <w:name w:val="页脚 Char"/>
    <w:basedOn w:val="14"/>
    <w:link w:val="9"/>
    <w:qFormat/>
    <w:uiPriority w:val="99"/>
    <w:rPr>
      <w:sz w:val="18"/>
      <w:szCs w:val="18"/>
    </w:rPr>
  </w:style>
  <w:style w:type="paragraph" w:customStyle="1" w:styleId="32">
    <w:name w:val="A-页眉"/>
    <w:basedOn w:val="10"/>
    <w:link w:val="33"/>
    <w:qFormat/>
    <w:uiPriority w:val="0"/>
    <w:pPr>
      <w:ind w:firstLine="480"/>
    </w:pPr>
    <w:rPr>
      <w:rFonts w:ascii="Times New Roman" w:hAnsi="Times New Roman" w:eastAsia="宋体" w:cs="Times New Roman"/>
      <w:lang w:val="zh-CN"/>
    </w:rPr>
  </w:style>
  <w:style w:type="character" w:customStyle="1" w:styleId="33">
    <w:name w:val="A-页眉 Char"/>
    <w:basedOn w:val="14"/>
    <w:link w:val="32"/>
    <w:uiPriority w:val="0"/>
    <w:rPr>
      <w:rFonts w:ascii="Times New Roman" w:hAnsi="Times New Roman" w:eastAsia="宋体" w:cs="Times New Roman"/>
      <w:sz w:val="18"/>
      <w:szCs w:val="18"/>
      <w:lang w:val="zh-CN"/>
    </w:rPr>
  </w:style>
  <w:style w:type="character" w:customStyle="1" w:styleId="34">
    <w:name w:val="页眉 Char"/>
    <w:basedOn w:val="14"/>
    <w:link w:val="10"/>
    <w:qFormat/>
    <w:uiPriority w:val="99"/>
    <w:rPr>
      <w:sz w:val="18"/>
      <w:szCs w:val="18"/>
    </w:rPr>
  </w:style>
  <w:style w:type="character" w:customStyle="1" w:styleId="35">
    <w:name w:val="标题 1 Char"/>
    <w:basedOn w:val="14"/>
    <w:link w:val="2"/>
    <w:qFormat/>
    <w:uiPriority w:val="0"/>
    <w:rPr>
      <w:rFonts w:ascii="Times New Roman" w:hAnsi="Times New Roman" w:eastAsia="楷体_GB2312" w:cs="Times New Roman"/>
      <w:b/>
      <w:kern w:val="44"/>
      <w:sz w:val="44"/>
      <w:szCs w:val="21"/>
    </w:rPr>
  </w:style>
  <w:style w:type="character" w:customStyle="1" w:styleId="36">
    <w:name w:val="标题 2 Char"/>
    <w:basedOn w:val="14"/>
    <w:link w:val="3"/>
    <w:qFormat/>
    <w:uiPriority w:val="0"/>
    <w:rPr>
      <w:rFonts w:ascii="Times New Roman" w:hAnsi="Times New Roman" w:eastAsia="楷体_GB2312" w:cs="Times New Roman"/>
      <w:b/>
      <w:bCs/>
      <w:smallCaps/>
      <w:sz w:val="36"/>
      <w:szCs w:val="28"/>
    </w:rPr>
  </w:style>
  <w:style w:type="character" w:customStyle="1" w:styleId="37">
    <w:name w:val="标题 3 Char"/>
    <w:basedOn w:val="14"/>
    <w:link w:val="4"/>
    <w:qFormat/>
    <w:uiPriority w:val="0"/>
    <w:rPr>
      <w:rFonts w:ascii="Times New Roman" w:hAnsi="Times New Roman" w:eastAsia="华文楷体" w:cs="Times New Roman"/>
      <w:b/>
      <w:bCs/>
      <w:sz w:val="32"/>
      <w:szCs w:val="21"/>
    </w:rPr>
  </w:style>
  <w:style w:type="character" w:customStyle="1" w:styleId="38">
    <w:name w:val="标题 4 Char"/>
    <w:basedOn w:val="14"/>
    <w:link w:val="5"/>
    <w:qFormat/>
    <w:uiPriority w:val="0"/>
    <w:rPr>
      <w:rFonts w:ascii="Times New Roman" w:hAnsi="Times New Roman" w:eastAsia="宋体" w:cs="Times New Roman"/>
      <w:b/>
      <w:bCs/>
      <w:smallCaps/>
      <w:sz w:val="28"/>
      <w:szCs w:val="24"/>
    </w:rPr>
  </w:style>
  <w:style w:type="paragraph" w:styleId="39">
    <w:name w:val="List Paragraph"/>
    <w:basedOn w:val="1"/>
    <w:qFormat/>
    <w:uiPriority w:val="34"/>
    <w:pPr>
      <w:ind w:firstLine="420" w:firstLineChars="200"/>
    </w:pPr>
  </w:style>
  <w:style w:type="paragraph" w:customStyle="1" w:styleId="4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41">
    <w:name w:val="批注文字 Char"/>
    <w:basedOn w:val="14"/>
    <w:link w:val="7"/>
    <w:qFormat/>
    <w:uiPriority w:val="99"/>
  </w:style>
  <w:style w:type="character" w:customStyle="1" w:styleId="42">
    <w:name w:val="批注主题 Char"/>
    <w:basedOn w:val="41"/>
    <w:link w:val="11"/>
    <w:semiHidden/>
    <w:qFormat/>
    <w:uiPriority w:val="99"/>
    <w:rPr>
      <w:b/>
      <w:bCs/>
    </w:rPr>
  </w:style>
  <w:style w:type="character" w:customStyle="1" w:styleId="43">
    <w:name w:val="批注框文本 Char"/>
    <w:basedOn w:val="14"/>
    <w:link w:val="8"/>
    <w:semiHidden/>
    <w:qFormat/>
    <w:uiPriority w:val="99"/>
    <w:rPr>
      <w:kern w:val="2"/>
      <w:sz w:val="18"/>
      <w:szCs w:val="18"/>
    </w:rPr>
  </w:style>
  <w:style w:type="paragraph" w:customStyle="1" w:styleId="44">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styleId="45">
    <w:name w:val="Placeholder Text"/>
    <w:basedOn w:val="14"/>
    <w:semiHidden/>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7715</Words>
  <Characters>9263</Characters>
  <Lines>70</Lines>
  <Paragraphs>19</Paragraphs>
  <TotalTime>587</TotalTime>
  <ScaleCrop>false</ScaleCrop>
  <LinksUpToDate>false</LinksUpToDate>
  <CharactersWithSpaces>9424</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2022-10-11T04:56:00Z</dcterms:created>
  <dc:creator>张 岩</dc:creator>
  <cp:lastModifiedBy>zxl</cp:lastModifiedBy>
  <cp:lastPrinted>2022-10-11T04:58:00Z</cp:lastPrinted>
  <dcterms:modified xsi:type="dcterms:W3CDTF">2024-11-15T08:38:27Z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F803968C74B54B6E9E6EC73DE4CA0A03_12</vt:lpwstr>
  </property>
</Properties>
</file>